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362C" w14:textId="7807B9C5" w:rsidR="008C3617" w:rsidRPr="00886838" w:rsidRDefault="00886838" w:rsidP="00886838">
      <w:pPr>
        <w:pStyle w:val="ListParagraph"/>
        <w:numPr>
          <w:ilvl w:val="0"/>
          <w:numId w:val="15"/>
        </w:numPr>
        <w:rPr>
          <w:b/>
          <w:sz w:val="24"/>
          <w:szCs w:val="24"/>
        </w:rPr>
      </w:pPr>
      <w:r w:rsidRPr="00886838">
        <w:rPr>
          <w:b/>
          <w:sz w:val="24"/>
          <w:szCs w:val="24"/>
        </w:rPr>
        <w:t>Inkstų ligomis sergančių pacientų skiepijimo rekomendacijos</w:t>
      </w:r>
    </w:p>
    <w:p w14:paraId="4B2BFCCB" w14:textId="77777777" w:rsidR="008C3617" w:rsidRDefault="008C3617">
      <w:pPr>
        <w:rPr>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02"/>
        <w:gridCol w:w="4111"/>
      </w:tblGrid>
      <w:tr w:rsidR="008C3617" w14:paraId="51F84F1B" w14:textId="77777777">
        <w:tc>
          <w:tcPr>
            <w:tcW w:w="3686" w:type="dxa"/>
          </w:tcPr>
          <w:p w14:paraId="718DC42C" w14:textId="77777777" w:rsidR="008C3617" w:rsidRDefault="00D02CE4">
            <w:pPr>
              <w:spacing w:after="0" w:line="240" w:lineRule="auto"/>
              <w:rPr>
                <w:b/>
              </w:rPr>
            </w:pPr>
            <w:r>
              <w:rPr>
                <w:b/>
              </w:rPr>
              <w:t>Rizikos ligos/būklės</w:t>
            </w:r>
          </w:p>
        </w:tc>
        <w:tc>
          <w:tcPr>
            <w:tcW w:w="3402" w:type="dxa"/>
          </w:tcPr>
          <w:p w14:paraId="66ABB050" w14:textId="77777777" w:rsidR="008C3617" w:rsidRDefault="00D02CE4">
            <w:pPr>
              <w:spacing w:after="0" w:line="240" w:lineRule="auto"/>
              <w:rPr>
                <w:b/>
              </w:rPr>
            </w:pPr>
            <w:r>
              <w:rPr>
                <w:b/>
              </w:rPr>
              <w:t>Rekomenduojamos vakcinos</w:t>
            </w:r>
          </w:p>
        </w:tc>
        <w:tc>
          <w:tcPr>
            <w:tcW w:w="4111" w:type="dxa"/>
          </w:tcPr>
          <w:p w14:paraId="6397CF4B" w14:textId="77777777" w:rsidR="008C3617" w:rsidRDefault="00D02CE4">
            <w:pPr>
              <w:spacing w:after="0" w:line="240" w:lineRule="auto"/>
              <w:rPr>
                <w:b/>
              </w:rPr>
            </w:pPr>
            <w:r>
              <w:rPr>
                <w:b/>
              </w:rPr>
              <w:t>Pastabos dėl vakcinų vartojimo</w:t>
            </w:r>
          </w:p>
        </w:tc>
      </w:tr>
      <w:tr w:rsidR="009B13C0" w14:paraId="0BB00263" w14:textId="77777777">
        <w:trPr>
          <w:trHeight w:val="406"/>
        </w:trPr>
        <w:tc>
          <w:tcPr>
            <w:tcW w:w="3686" w:type="dxa"/>
            <w:vMerge w:val="restart"/>
          </w:tcPr>
          <w:p w14:paraId="334C2F9E" w14:textId="246283D1" w:rsidR="009B13C0" w:rsidRDefault="009B13C0" w:rsidP="002831DA">
            <w:pPr>
              <w:spacing w:after="0" w:line="240" w:lineRule="auto"/>
              <w:jc w:val="both"/>
              <w:rPr>
                <w:b/>
              </w:rPr>
            </w:pPr>
            <w:r>
              <w:rPr>
                <w:b/>
              </w:rPr>
              <w:t>Lėtinė inkstų liga,</w:t>
            </w:r>
          </w:p>
          <w:p w14:paraId="060D73EC" w14:textId="77777777" w:rsidR="00813F1A" w:rsidRDefault="009B13C0" w:rsidP="002831DA">
            <w:pPr>
              <w:spacing w:after="0" w:line="240" w:lineRule="auto"/>
              <w:jc w:val="both"/>
              <w:rPr>
                <w:b/>
              </w:rPr>
            </w:pPr>
            <w:r>
              <w:rPr>
                <w:b/>
              </w:rPr>
              <w:t>kai GFG 59 – 30 ml/</w:t>
            </w:r>
          </w:p>
          <w:p w14:paraId="3DFF9700" w14:textId="4D24CD45" w:rsidR="009B13C0" w:rsidRDefault="009B13C0" w:rsidP="002831DA">
            <w:pPr>
              <w:spacing w:after="0" w:line="240" w:lineRule="auto"/>
              <w:jc w:val="both"/>
              <w:rPr>
                <w:b/>
              </w:rPr>
            </w:pPr>
            <w:r>
              <w:rPr>
                <w:b/>
              </w:rPr>
              <w:t>min/1,73 m</w:t>
            </w:r>
            <w:r>
              <w:rPr>
                <w:b/>
                <w:vertAlign w:val="superscript"/>
              </w:rPr>
              <w:t xml:space="preserve">2 </w:t>
            </w:r>
          </w:p>
        </w:tc>
        <w:tc>
          <w:tcPr>
            <w:tcW w:w="3402" w:type="dxa"/>
          </w:tcPr>
          <w:p w14:paraId="1150ACD3" w14:textId="7DB9118E" w:rsidR="009B13C0" w:rsidRDefault="009B13C0" w:rsidP="002831DA">
            <w:pPr>
              <w:spacing w:after="0" w:line="240" w:lineRule="auto"/>
              <w:jc w:val="both"/>
            </w:pPr>
            <w:r>
              <w:t>Sezoninė gripo vakcina</w:t>
            </w:r>
          </w:p>
        </w:tc>
        <w:tc>
          <w:tcPr>
            <w:tcW w:w="4111" w:type="dxa"/>
          </w:tcPr>
          <w:p w14:paraId="5F02DB9D" w14:textId="44015012" w:rsidR="009B13C0" w:rsidRDefault="009B13C0" w:rsidP="002831DA">
            <w:pPr>
              <w:spacing w:after="0" w:line="240" w:lineRule="auto"/>
              <w:jc w:val="both"/>
            </w:pPr>
            <w:r>
              <w:t>1 dozė kasmet prieš gripo sezoną.</w:t>
            </w:r>
          </w:p>
        </w:tc>
      </w:tr>
      <w:tr w:rsidR="009B13C0" w14:paraId="45AA10B7" w14:textId="77777777">
        <w:trPr>
          <w:trHeight w:val="515"/>
        </w:trPr>
        <w:tc>
          <w:tcPr>
            <w:tcW w:w="3686" w:type="dxa"/>
            <w:vMerge/>
          </w:tcPr>
          <w:p w14:paraId="7A58361A" w14:textId="77777777" w:rsidR="009B13C0" w:rsidRDefault="009B13C0" w:rsidP="002831DA">
            <w:pPr>
              <w:spacing w:after="0" w:line="240" w:lineRule="auto"/>
              <w:jc w:val="both"/>
              <w:rPr>
                <w:b/>
              </w:rPr>
            </w:pPr>
          </w:p>
        </w:tc>
        <w:tc>
          <w:tcPr>
            <w:tcW w:w="3402" w:type="dxa"/>
          </w:tcPr>
          <w:p w14:paraId="25206EBF" w14:textId="77777777" w:rsidR="009B13C0" w:rsidRDefault="009B13C0" w:rsidP="002831DA">
            <w:pPr>
              <w:spacing w:after="0" w:line="240" w:lineRule="auto"/>
              <w:jc w:val="both"/>
            </w:pPr>
            <w:r>
              <w:t>VHB vakcina</w:t>
            </w:r>
          </w:p>
        </w:tc>
        <w:tc>
          <w:tcPr>
            <w:tcW w:w="4111" w:type="dxa"/>
          </w:tcPr>
          <w:p w14:paraId="7B3A0503" w14:textId="206CE901" w:rsidR="009B13C0" w:rsidRDefault="009B13C0" w:rsidP="002831DA">
            <w:pPr>
              <w:spacing w:after="0" w:line="240" w:lineRule="auto"/>
              <w:jc w:val="both"/>
            </w:pPr>
            <w:r>
              <w:t>HBsAg, anti-HBc ir anti-HBs neigiamiems asmenims 3 dozių po 20 µg kursas pagal schemą: 0, 1, 2 ir 6 mėnesių.</w:t>
            </w:r>
          </w:p>
          <w:p w14:paraId="68454D0E" w14:textId="26874F24" w:rsidR="009B13C0" w:rsidRDefault="009B13C0" w:rsidP="002831DA">
            <w:pPr>
              <w:spacing w:after="0" w:line="240" w:lineRule="auto"/>
              <w:jc w:val="both"/>
            </w:pPr>
            <w:r>
              <w:t>Galimos kitos skiepijimo schemos pagal vakcinų aprašus.</w:t>
            </w:r>
          </w:p>
        </w:tc>
      </w:tr>
      <w:tr w:rsidR="009B13C0" w14:paraId="4097585D" w14:textId="77777777">
        <w:trPr>
          <w:trHeight w:val="375"/>
        </w:trPr>
        <w:tc>
          <w:tcPr>
            <w:tcW w:w="3686" w:type="dxa"/>
            <w:vMerge/>
          </w:tcPr>
          <w:p w14:paraId="28501546" w14:textId="7BDF371A" w:rsidR="009B13C0" w:rsidRDefault="009B13C0" w:rsidP="002831DA">
            <w:pPr>
              <w:spacing w:after="0" w:line="240" w:lineRule="auto"/>
              <w:jc w:val="both"/>
              <w:rPr>
                <w:b/>
              </w:rPr>
            </w:pPr>
          </w:p>
        </w:tc>
        <w:tc>
          <w:tcPr>
            <w:tcW w:w="3402" w:type="dxa"/>
          </w:tcPr>
          <w:p w14:paraId="38DBB505" w14:textId="77777777" w:rsidR="008736B8" w:rsidRDefault="009B13C0" w:rsidP="002831DA">
            <w:pPr>
              <w:spacing w:after="0" w:line="240" w:lineRule="auto"/>
              <w:jc w:val="both"/>
            </w:pPr>
            <w:r>
              <w:t xml:space="preserve">Žmogaus papilomos </w:t>
            </w:r>
          </w:p>
          <w:p w14:paraId="234CDB46" w14:textId="5FBC576F" w:rsidR="009B13C0" w:rsidRDefault="009B13C0" w:rsidP="002831DA">
            <w:pPr>
              <w:spacing w:after="0" w:line="240" w:lineRule="auto"/>
              <w:jc w:val="both"/>
            </w:pPr>
            <w:r>
              <w:t>viruso vakcina</w:t>
            </w:r>
          </w:p>
        </w:tc>
        <w:tc>
          <w:tcPr>
            <w:tcW w:w="4111" w:type="dxa"/>
          </w:tcPr>
          <w:p w14:paraId="5684D2C9" w14:textId="71F22A51" w:rsidR="009B13C0" w:rsidRDefault="009B13C0" w:rsidP="002831DA">
            <w:pPr>
              <w:spacing w:after="0" w:line="240" w:lineRule="auto"/>
              <w:jc w:val="both"/>
            </w:pPr>
            <w:r>
              <w:t>3 dozių kursas moterims pagal vakcinų aprašus.</w:t>
            </w:r>
          </w:p>
        </w:tc>
      </w:tr>
      <w:tr w:rsidR="009B13C0" w14:paraId="0F89DB36" w14:textId="77777777" w:rsidTr="009B13C0">
        <w:trPr>
          <w:trHeight w:val="1032"/>
        </w:trPr>
        <w:tc>
          <w:tcPr>
            <w:tcW w:w="3686" w:type="dxa"/>
            <w:vMerge/>
          </w:tcPr>
          <w:p w14:paraId="0925BE7B" w14:textId="77777777" w:rsidR="009B13C0" w:rsidRDefault="009B13C0" w:rsidP="002831DA">
            <w:pPr>
              <w:spacing w:after="0" w:line="240" w:lineRule="auto"/>
              <w:jc w:val="both"/>
              <w:rPr>
                <w:b/>
              </w:rPr>
            </w:pPr>
          </w:p>
        </w:tc>
        <w:tc>
          <w:tcPr>
            <w:tcW w:w="3402" w:type="dxa"/>
          </w:tcPr>
          <w:p w14:paraId="6B03707F" w14:textId="77777777" w:rsidR="009B13C0" w:rsidRDefault="009B13C0" w:rsidP="002831DA">
            <w:pPr>
              <w:spacing w:after="0" w:line="240" w:lineRule="auto"/>
              <w:jc w:val="both"/>
            </w:pPr>
            <w:r>
              <w:t>Td arba Tdap vakcina</w:t>
            </w:r>
          </w:p>
          <w:p w14:paraId="5458A9E9" w14:textId="77777777" w:rsidR="009B13C0" w:rsidRDefault="009B13C0" w:rsidP="002831DA">
            <w:pPr>
              <w:spacing w:after="0" w:line="240" w:lineRule="auto"/>
              <w:jc w:val="both"/>
            </w:pPr>
          </w:p>
          <w:p w14:paraId="687B2164" w14:textId="77777777" w:rsidR="009B13C0" w:rsidRDefault="009B13C0" w:rsidP="002831DA">
            <w:pPr>
              <w:spacing w:after="0" w:line="240" w:lineRule="auto"/>
              <w:jc w:val="both"/>
            </w:pPr>
          </w:p>
          <w:p w14:paraId="08092E3B" w14:textId="47AA0AAB" w:rsidR="009B13C0" w:rsidRDefault="009B13C0" w:rsidP="002831DA">
            <w:pPr>
              <w:spacing w:after="0" w:line="240" w:lineRule="auto"/>
              <w:jc w:val="both"/>
            </w:pPr>
          </w:p>
        </w:tc>
        <w:tc>
          <w:tcPr>
            <w:tcW w:w="4111" w:type="dxa"/>
          </w:tcPr>
          <w:p w14:paraId="633F5417" w14:textId="397B694A" w:rsidR="009B13C0" w:rsidRDefault="009B13C0" w:rsidP="00352B61">
            <w:r>
              <w:t xml:space="preserve">1 dozė kas 10 metų (Td vakcina), </w:t>
            </w:r>
            <w:r w:rsidRPr="00352B61">
              <w:rPr>
                <w:lang w:val="lt-LT"/>
              </w:rPr>
              <w:t>vieną revakcinaciją Td vakcina pakeisti revakcinacija nuo kokliušo, difterijos ir stabligės (Tdap vakcina</w:t>
            </w:r>
            <w:r>
              <w:rPr>
                <w:lang w:val="lt-LT"/>
              </w:rPr>
              <w:t>), esant galimybei.</w:t>
            </w:r>
          </w:p>
        </w:tc>
      </w:tr>
      <w:tr w:rsidR="009B13C0" w14:paraId="44713C2B" w14:textId="77777777">
        <w:trPr>
          <w:trHeight w:val="1914"/>
        </w:trPr>
        <w:tc>
          <w:tcPr>
            <w:tcW w:w="3686" w:type="dxa"/>
            <w:vMerge/>
          </w:tcPr>
          <w:p w14:paraId="337CF2E1" w14:textId="77777777" w:rsidR="009B13C0" w:rsidRDefault="009B13C0" w:rsidP="002831DA">
            <w:pPr>
              <w:spacing w:after="0" w:line="240" w:lineRule="auto"/>
              <w:jc w:val="both"/>
              <w:rPr>
                <w:b/>
              </w:rPr>
            </w:pPr>
          </w:p>
        </w:tc>
        <w:tc>
          <w:tcPr>
            <w:tcW w:w="3402" w:type="dxa"/>
          </w:tcPr>
          <w:p w14:paraId="5B7E7608" w14:textId="26668FDE" w:rsidR="009B13C0" w:rsidRDefault="009B13C0" w:rsidP="002831DA">
            <w:pPr>
              <w:jc w:val="both"/>
            </w:pPr>
            <w:r>
              <w:t>Erkinio encefalito vakcina</w:t>
            </w:r>
          </w:p>
        </w:tc>
        <w:tc>
          <w:tcPr>
            <w:tcW w:w="4111" w:type="dxa"/>
          </w:tcPr>
          <w:p w14:paraId="1D82F803" w14:textId="413D6765" w:rsidR="009B13C0" w:rsidRDefault="009B13C0" w:rsidP="00352B61">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w:t>
            </w:r>
            <w:r w:rsidRPr="0004367C">
              <w:rPr>
                <w:color w:val="000000" w:themeColor="text1"/>
              </w:rPr>
              <w:t xml:space="preserve">Revakcinacija kas 3 </w:t>
            </w:r>
            <w:r w:rsidR="005312F7" w:rsidRPr="0004367C">
              <w:rPr>
                <w:color w:val="000000" w:themeColor="text1"/>
              </w:rPr>
              <w:t xml:space="preserve">-5 </w:t>
            </w:r>
            <w:r w:rsidRPr="0004367C">
              <w:rPr>
                <w:color w:val="000000" w:themeColor="text1"/>
              </w:rPr>
              <w:t>metai</w:t>
            </w:r>
            <w:r w:rsidR="005312F7" w:rsidRPr="0004367C">
              <w:rPr>
                <w:color w:val="000000" w:themeColor="text1"/>
              </w:rPr>
              <w:t xml:space="preserve"> (priklausomai nuo vakcinos gamintojo)</w:t>
            </w:r>
            <w:r w:rsidRPr="0004367C">
              <w:rPr>
                <w:color w:val="000000" w:themeColor="text1"/>
              </w:rPr>
              <w:t>.</w:t>
            </w:r>
          </w:p>
        </w:tc>
      </w:tr>
      <w:tr w:rsidR="00E1149D" w14:paraId="5DD4F237" w14:textId="77777777">
        <w:tc>
          <w:tcPr>
            <w:tcW w:w="3686" w:type="dxa"/>
            <w:vMerge w:val="restart"/>
          </w:tcPr>
          <w:p w14:paraId="05C6B64C" w14:textId="17C61296" w:rsidR="00E1149D" w:rsidRDefault="00E1149D" w:rsidP="002831DA">
            <w:pPr>
              <w:spacing w:after="0" w:line="240" w:lineRule="auto"/>
              <w:jc w:val="both"/>
              <w:rPr>
                <w:b/>
              </w:rPr>
            </w:pPr>
            <w:r>
              <w:rPr>
                <w:b/>
              </w:rPr>
              <w:t>Lėtinė inkstų liga,</w:t>
            </w:r>
          </w:p>
          <w:p w14:paraId="17E3B42C" w14:textId="77777777" w:rsidR="00813F1A" w:rsidRDefault="00E1149D" w:rsidP="002831DA">
            <w:pPr>
              <w:spacing w:after="0" w:line="240" w:lineRule="auto"/>
              <w:jc w:val="both"/>
              <w:rPr>
                <w:b/>
              </w:rPr>
            </w:pPr>
            <w:r>
              <w:rPr>
                <w:b/>
              </w:rPr>
              <w:t>kai GFG &lt; 30 ml/min/</w:t>
            </w:r>
          </w:p>
          <w:p w14:paraId="697ABC0F" w14:textId="1583C93D" w:rsidR="00E1149D" w:rsidRDefault="00E1149D" w:rsidP="002831DA">
            <w:pPr>
              <w:spacing w:after="0" w:line="240" w:lineRule="auto"/>
              <w:jc w:val="both"/>
              <w:rPr>
                <w:b/>
              </w:rPr>
            </w:pPr>
            <w:r>
              <w:rPr>
                <w:b/>
              </w:rPr>
              <w:t>1,73 m</w:t>
            </w:r>
            <w:r>
              <w:rPr>
                <w:b/>
                <w:vertAlign w:val="superscript"/>
              </w:rPr>
              <w:t>2</w:t>
            </w:r>
          </w:p>
          <w:p w14:paraId="248D6A63" w14:textId="12CC442E" w:rsidR="00E1149D" w:rsidRDefault="00E1149D" w:rsidP="00F432CE">
            <w:pPr>
              <w:spacing w:after="0" w:line="240" w:lineRule="auto"/>
              <w:rPr>
                <w:b/>
              </w:rPr>
            </w:pPr>
            <w:r>
              <w:rPr>
                <w:b/>
              </w:rPr>
              <w:t>Pakaitinis inkstų gydymas arba hemodializė/peritoninė dializė</w:t>
            </w:r>
          </w:p>
          <w:p w14:paraId="7BCBE70C" w14:textId="77777777" w:rsidR="00813F1A" w:rsidRDefault="00E1149D" w:rsidP="002831DA">
            <w:pPr>
              <w:spacing w:after="0" w:line="240" w:lineRule="auto"/>
              <w:jc w:val="both"/>
              <w:rPr>
                <w:b/>
              </w:rPr>
            </w:pPr>
            <w:r>
              <w:rPr>
                <w:b/>
              </w:rPr>
              <w:t xml:space="preserve">Nefrozinis </w:t>
            </w:r>
          </w:p>
          <w:p w14:paraId="603710C2" w14:textId="586BB8E9" w:rsidR="00E1149D" w:rsidRDefault="00E1149D" w:rsidP="002831DA">
            <w:pPr>
              <w:spacing w:after="0" w:line="240" w:lineRule="auto"/>
              <w:jc w:val="both"/>
              <w:rPr>
                <w:b/>
              </w:rPr>
            </w:pPr>
            <w:r>
              <w:rPr>
                <w:b/>
              </w:rPr>
              <w:t>sindromas</w:t>
            </w:r>
          </w:p>
          <w:p w14:paraId="37A19EBB" w14:textId="77777777" w:rsidR="00813F1A" w:rsidRDefault="00E1149D" w:rsidP="002831DA">
            <w:pPr>
              <w:spacing w:after="0" w:line="240" w:lineRule="auto"/>
              <w:jc w:val="both"/>
              <w:rPr>
                <w:b/>
              </w:rPr>
            </w:pPr>
            <w:r>
              <w:rPr>
                <w:b/>
              </w:rPr>
              <w:t xml:space="preserve">Imunosupresinė </w:t>
            </w:r>
          </w:p>
          <w:p w14:paraId="3B8AD68B" w14:textId="4E534ED7" w:rsidR="00E1149D" w:rsidRDefault="00E1149D" w:rsidP="002831DA">
            <w:pPr>
              <w:spacing w:after="0" w:line="240" w:lineRule="auto"/>
              <w:jc w:val="both"/>
              <w:rPr>
                <w:b/>
              </w:rPr>
            </w:pPr>
            <w:r>
              <w:rPr>
                <w:b/>
              </w:rPr>
              <w:t>terapija</w:t>
            </w:r>
          </w:p>
          <w:p w14:paraId="6D045EF3" w14:textId="77777777" w:rsidR="00813F1A" w:rsidRDefault="00E1149D" w:rsidP="00572599">
            <w:pPr>
              <w:spacing w:after="0" w:line="240" w:lineRule="auto"/>
            </w:pPr>
            <w:r>
              <w:t xml:space="preserve">(jei įmanoma, </w:t>
            </w:r>
          </w:p>
          <w:p w14:paraId="45943127" w14:textId="77777777" w:rsidR="00813F1A" w:rsidRDefault="00E1149D" w:rsidP="00572599">
            <w:pPr>
              <w:spacing w:after="0" w:line="240" w:lineRule="auto"/>
            </w:pPr>
            <w:r>
              <w:t xml:space="preserve">skiepijimas visomis rekomenduojamomis </w:t>
            </w:r>
          </w:p>
          <w:p w14:paraId="4F2768C5" w14:textId="77777777" w:rsidR="00813F1A" w:rsidRDefault="00E1149D" w:rsidP="00572599">
            <w:pPr>
              <w:spacing w:after="0" w:line="240" w:lineRule="auto"/>
            </w:pPr>
            <w:r>
              <w:t xml:space="preserve">vakcinomis turi </w:t>
            </w:r>
          </w:p>
          <w:p w14:paraId="19F76B16" w14:textId="77777777" w:rsidR="00813F1A" w:rsidRDefault="00E1149D" w:rsidP="00572599">
            <w:pPr>
              <w:spacing w:after="0" w:line="240" w:lineRule="auto"/>
            </w:pPr>
            <w:r>
              <w:t xml:space="preserve">būti baigtas likus </w:t>
            </w:r>
          </w:p>
          <w:p w14:paraId="31441C31" w14:textId="77777777" w:rsidR="00813F1A" w:rsidRDefault="00E1149D" w:rsidP="00572599">
            <w:pPr>
              <w:spacing w:after="0" w:line="240" w:lineRule="auto"/>
            </w:pPr>
            <w:r>
              <w:t xml:space="preserve">2 savaitėms iki </w:t>
            </w:r>
          </w:p>
          <w:p w14:paraId="4874B5F4" w14:textId="77777777" w:rsidR="00813F1A" w:rsidRDefault="00E1149D" w:rsidP="00572599">
            <w:pPr>
              <w:spacing w:after="0" w:line="240" w:lineRule="auto"/>
            </w:pPr>
            <w:r>
              <w:t xml:space="preserve">imunosupresinio </w:t>
            </w:r>
          </w:p>
          <w:p w14:paraId="681AD826" w14:textId="40752A35" w:rsidR="00E1149D" w:rsidRDefault="00E1149D" w:rsidP="00572599">
            <w:pPr>
              <w:spacing w:after="0" w:line="240" w:lineRule="auto"/>
              <w:rPr>
                <w:vertAlign w:val="superscript"/>
              </w:rPr>
            </w:pPr>
            <w:r>
              <w:t>gydymo pradžios)</w:t>
            </w:r>
          </w:p>
        </w:tc>
        <w:tc>
          <w:tcPr>
            <w:tcW w:w="3402" w:type="dxa"/>
          </w:tcPr>
          <w:p w14:paraId="68E316F9" w14:textId="3FE36D25" w:rsidR="00E1149D" w:rsidRDefault="00E1149D" w:rsidP="002831DA">
            <w:pPr>
              <w:spacing w:after="0" w:line="240" w:lineRule="auto"/>
              <w:jc w:val="both"/>
            </w:pPr>
            <w:r>
              <w:t>Sezoninė gripo vakcina</w:t>
            </w:r>
          </w:p>
        </w:tc>
        <w:tc>
          <w:tcPr>
            <w:tcW w:w="4111" w:type="dxa"/>
          </w:tcPr>
          <w:p w14:paraId="6AF5413F" w14:textId="59E32FA9" w:rsidR="00E1149D" w:rsidRDefault="00E1149D" w:rsidP="002831DA">
            <w:pPr>
              <w:spacing w:after="0" w:line="240" w:lineRule="auto"/>
              <w:jc w:val="both"/>
            </w:pPr>
            <w:r>
              <w:t>1 dozė kasmet prieš gripo sezoną.</w:t>
            </w:r>
          </w:p>
        </w:tc>
      </w:tr>
      <w:tr w:rsidR="00E1149D" w14:paraId="6E9C8278" w14:textId="77777777">
        <w:tc>
          <w:tcPr>
            <w:tcW w:w="3686" w:type="dxa"/>
            <w:vMerge/>
          </w:tcPr>
          <w:p w14:paraId="4D5D0A36" w14:textId="77777777" w:rsidR="00E1149D" w:rsidRDefault="00E1149D" w:rsidP="002831DA">
            <w:pPr>
              <w:spacing w:after="0" w:line="240" w:lineRule="auto"/>
              <w:jc w:val="both"/>
            </w:pPr>
          </w:p>
        </w:tc>
        <w:tc>
          <w:tcPr>
            <w:tcW w:w="3402" w:type="dxa"/>
          </w:tcPr>
          <w:p w14:paraId="72AF5882" w14:textId="4F23642B" w:rsidR="00E1149D" w:rsidRDefault="00E1149D" w:rsidP="0076587C">
            <w:pPr>
              <w:spacing w:after="0" w:line="240" w:lineRule="auto"/>
              <w:jc w:val="both"/>
            </w:pPr>
            <w:r>
              <w:t>Pneumokokinė vakcina</w:t>
            </w:r>
          </w:p>
        </w:tc>
        <w:tc>
          <w:tcPr>
            <w:tcW w:w="4111" w:type="dxa"/>
          </w:tcPr>
          <w:p w14:paraId="139D3C33" w14:textId="77777777" w:rsidR="00E1149D" w:rsidRPr="0046180F" w:rsidRDefault="00E1149D" w:rsidP="0046180F">
            <w:pPr>
              <w:spacing w:after="0" w:line="240" w:lineRule="auto"/>
              <w:jc w:val="both"/>
              <w:rPr>
                <w:lang w:val="lt-LT"/>
              </w:rPr>
            </w:pPr>
            <w:r w:rsidRPr="0046180F">
              <w:rPr>
                <w:lang w:val="lt-LT"/>
              </w:rPr>
              <w:t>Asmenys, kurie anksčiau nebuvo skiepyti pneumokokine vakcina (PKV13 ar PPSV23): 1 dozė PKV13.</w:t>
            </w:r>
          </w:p>
          <w:p w14:paraId="4BE36B69" w14:textId="121B3324" w:rsidR="00E1149D" w:rsidRDefault="00E1149D" w:rsidP="0046180F">
            <w:pPr>
              <w:spacing w:after="0" w:line="240" w:lineRule="auto"/>
              <w:jc w:val="both"/>
            </w:pPr>
            <w:r w:rsidRPr="0046180F">
              <w:rPr>
                <w:lang w:val="lt-LT"/>
              </w:rPr>
              <w:t>Asmenys, kurie anksčiau buvo skiepyti PPSV23, bet nebuvo skiepyti PKV13: papildomai turėtų būti paskiepyti PKV13 praėjus mažiausiai 1 metams po PPSV23.</w:t>
            </w:r>
          </w:p>
        </w:tc>
      </w:tr>
      <w:tr w:rsidR="00E1149D" w14:paraId="244576C9" w14:textId="77777777">
        <w:trPr>
          <w:trHeight w:val="640"/>
        </w:trPr>
        <w:tc>
          <w:tcPr>
            <w:tcW w:w="3686" w:type="dxa"/>
            <w:vMerge/>
          </w:tcPr>
          <w:p w14:paraId="054621F2" w14:textId="77777777" w:rsidR="00E1149D" w:rsidRDefault="00E1149D" w:rsidP="002831DA">
            <w:pPr>
              <w:spacing w:after="0" w:line="240" w:lineRule="auto"/>
              <w:jc w:val="both"/>
            </w:pPr>
          </w:p>
        </w:tc>
        <w:tc>
          <w:tcPr>
            <w:tcW w:w="3402" w:type="dxa"/>
          </w:tcPr>
          <w:p w14:paraId="6E90E733" w14:textId="77777777" w:rsidR="00E1149D" w:rsidRDefault="00E1149D" w:rsidP="002831DA">
            <w:pPr>
              <w:spacing w:after="0" w:line="240" w:lineRule="auto"/>
              <w:jc w:val="both"/>
            </w:pPr>
            <w:r>
              <w:t>VHB vakcina</w:t>
            </w:r>
          </w:p>
        </w:tc>
        <w:tc>
          <w:tcPr>
            <w:tcW w:w="4111" w:type="dxa"/>
          </w:tcPr>
          <w:p w14:paraId="0816D9E9" w14:textId="7FF336F7" w:rsidR="00E1149D" w:rsidRDefault="00E1149D" w:rsidP="00265D0D">
            <w:pPr>
              <w:spacing w:after="0" w:line="240" w:lineRule="auto"/>
              <w:jc w:val="both"/>
            </w:pPr>
            <w:r>
              <w:t>HBsAg, anti-HBc ir anti-HBs neigiamiems asmenims 4 dozių po 40 µg kursas pagal schemą: 0, 1, 2 ir 12 mėnesiai. Rekomenduojama vakcinaciją atlikti iki hemodializių pradžios arba tik pradėjus hemodializę.</w:t>
            </w:r>
          </w:p>
          <w:p w14:paraId="480288C3" w14:textId="4C259EE8" w:rsidR="00E1149D" w:rsidRDefault="00E1149D" w:rsidP="00265D0D">
            <w:pPr>
              <w:spacing w:after="0" w:line="240" w:lineRule="auto"/>
              <w:jc w:val="both"/>
            </w:pPr>
            <w:r>
              <w:t>Gali būti skiepijama specialia VHB vakcina, skirta ligoniams su inkstų funkcijos nepakankamumu iki hemodializių arba jau hemodializuojamiems ligoniams. Skiepyti rekomenduojama pagal vakcinos apraše nurodytą skiepijimo schemą.</w:t>
            </w:r>
          </w:p>
        </w:tc>
      </w:tr>
      <w:tr w:rsidR="00E1149D" w14:paraId="0D3E8D05" w14:textId="77777777">
        <w:trPr>
          <w:trHeight w:val="640"/>
        </w:trPr>
        <w:tc>
          <w:tcPr>
            <w:tcW w:w="3686" w:type="dxa"/>
            <w:vMerge/>
          </w:tcPr>
          <w:p w14:paraId="0A169990" w14:textId="77777777" w:rsidR="00E1149D" w:rsidRDefault="00E1149D" w:rsidP="002831DA">
            <w:pPr>
              <w:spacing w:after="0" w:line="240" w:lineRule="auto"/>
              <w:jc w:val="both"/>
            </w:pPr>
          </w:p>
        </w:tc>
        <w:tc>
          <w:tcPr>
            <w:tcW w:w="3402" w:type="dxa"/>
          </w:tcPr>
          <w:p w14:paraId="57731643" w14:textId="77777777" w:rsidR="008736B8" w:rsidRDefault="00E1149D" w:rsidP="002831DA">
            <w:pPr>
              <w:spacing w:after="0" w:line="240" w:lineRule="auto"/>
              <w:jc w:val="both"/>
            </w:pPr>
            <w:r>
              <w:t>Žmogaus papilomos</w:t>
            </w:r>
          </w:p>
          <w:p w14:paraId="200DCE08" w14:textId="7529F97B" w:rsidR="00E1149D" w:rsidRDefault="00E1149D" w:rsidP="002831DA">
            <w:pPr>
              <w:spacing w:after="0" w:line="240" w:lineRule="auto"/>
              <w:jc w:val="both"/>
            </w:pPr>
            <w:r>
              <w:t xml:space="preserve"> viruso vakcina</w:t>
            </w:r>
          </w:p>
        </w:tc>
        <w:tc>
          <w:tcPr>
            <w:tcW w:w="4111" w:type="dxa"/>
          </w:tcPr>
          <w:p w14:paraId="7B1E7571" w14:textId="77777777" w:rsidR="00E1149D" w:rsidRDefault="00E1149D" w:rsidP="00265D0D">
            <w:pPr>
              <w:spacing w:after="0" w:line="240" w:lineRule="auto"/>
              <w:jc w:val="both"/>
            </w:pPr>
            <w:r>
              <w:t>3 dozių kursas moterims pagal vakcinų aprašus.</w:t>
            </w:r>
          </w:p>
          <w:p w14:paraId="5A8C6FF4" w14:textId="77777777" w:rsidR="00E1149D" w:rsidRDefault="00E1149D" w:rsidP="00265D0D">
            <w:pPr>
              <w:spacing w:after="0" w:line="240" w:lineRule="auto"/>
              <w:jc w:val="both"/>
            </w:pPr>
          </w:p>
          <w:p w14:paraId="4CA5BC88" w14:textId="33B4A39A" w:rsidR="00E1149D" w:rsidRDefault="00E1149D" w:rsidP="00265D0D">
            <w:pPr>
              <w:spacing w:after="0" w:line="240" w:lineRule="auto"/>
              <w:jc w:val="both"/>
            </w:pPr>
          </w:p>
        </w:tc>
      </w:tr>
      <w:tr w:rsidR="00E1149D" w14:paraId="557DB990" w14:textId="77777777" w:rsidTr="00E1149D">
        <w:trPr>
          <w:trHeight w:val="1085"/>
        </w:trPr>
        <w:tc>
          <w:tcPr>
            <w:tcW w:w="3686" w:type="dxa"/>
            <w:vMerge/>
          </w:tcPr>
          <w:p w14:paraId="17EABD9C" w14:textId="6FB2797D" w:rsidR="00E1149D" w:rsidRDefault="00E1149D" w:rsidP="002831DA">
            <w:pPr>
              <w:spacing w:after="0" w:line="240" w:lineRule="auto"/>
              <w:jc w:val="both"/>
            </w:pPr>
          </w:p>
        </w:tc>
        <w:tc>
          <w:tcPr>
            <w:tcW w:w="3402" w:type="dxa"/>
          </w:tcPr>
          <w:p w14:paraId="2378D32E" w14:textId="51B467B6" w:rsidR="00E1149D" w:rsidRDefault="00E1149D" w:rsidP="002831DA">
            <w:pPr>
              <w:spacing w:after="0" w:line="240" w:lineRule="auto"/>
              <w:jc w:val="both"/>
            </w:pPr>
            <w:r>
              <w:t>Td arba Tdap vakcina</w:t>
            </w:r>
          </w:p>
        </w:tc>
        <w:tc>
          <w:tcPr>
            <w:tcW w:w="4111" w:type="dxa"/>
          </w:tcPr>
          <w:p w14:paraId="6D4A4674" w14:textId="42109CEF" w:rsidR="00E1149D" w:rsidRDefault="00E1149D" w:rsidP="00C80038">
            <w:r>
              <w:t xml:space="preserve">1 dozė kas 10 metų </w:t>
            </w:r>
            <w:r w:rsidRPr="00C80038">
              <w:t xml:space="preserve">(Td vakcina), </w:t>
            </w:r>
            <w:r w:rsidRPr="00C80038">
              <w:rPr>
                <w:lang w:val="lt-LT"/>
              </w:rPr>
              <w:t>vieną revakcinaciją Td vakcina pakeisti revakcinacija nuo kokliušo, difterijos ir stabligės (Tdap vakcina), esant galimybei.</w:t>
            </w:r>
            <w:r>
              <w:t xml:space="preserve"> </w:t>
            </w:r>
          </w:p>
        </w:tc>
      </w:tr>
      <w:tr w:rsidR="00E1149D" w14:paraId="613BD083" w14:textId="77777777">
        <w:trPr>
          <w:trHeight w:val="1864"/>
        </w:trPr>
        <w:tc>
          <w:tcPr>
            <w:tcW w:w="3686" w:type="dxa"/>
            <w:vMerge/>
          </w:tcPr>
          <w:p w14:paraId="11B020A3" w14:textId="77777777" w:rsidR="00E1149D" w:rsidRDefault="00E1149D" w:rsidP="002831DA">
            <w:pPr>
              <w:spacing w:after="0" w:line="240" w:lineRule="auto"/>
              <w:jc w:val="both"/>
            </w:pPr>
          </w:p>
        </w:tc>
        <w:tc>
          <w:tcPr>
            <w:tcW w:w="3402" w:type="dxa"/>
          </w:tcPr>
          <w:p w14:paraId="2CE0B753" w14:textId="640E175A" w:rsidR="00E1149D" w:rsidRDefault="0086686A" w:rsidP="002831DA">
            <w:pPr>
              <w:jc w:val="both"/>
            </w:pPr>
            <w:r>
              <w:t>Erkinio encefalito vakcina</w:t>
            </w:r>
          </w:p>
        </w:tc>
        <w:tc>
          <w:tcPr>
            <w:tcW w:w="4111" w:type="dxa"/>
          </w:tcPr>
          <w:p w14:paraId="43E5C823" w14:textId="4616FCC2" w:rsidR="00E1149D" w:rsidRDefault="00E1149D" w:rsidP="00C80038">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E77CED">
              <w:rPr>
                <w:color w:val="000000"/>
              </w:rPr>
              <w:t xml:space="preserve"> </w:t>
            </w:r>
            <w:r w:rsidR="00E77CED" w:rsidRPr="007A76BB">
              <w:rPr>
                <w:color w:val="000000"/>
              </w:rPr>
              <w:t xml:space="preserve">Revakcinacija kas </w:t>
            </w:r>
            <w:r w:rsidR="00E77CED" w:rsidRPr="0004367C">
              <w:rPr>
                <w:color w:val="000000" w:themeColor="text1"/>
              </w:rPr>
              <w:t>3 -5 metai (priklausomai nuo vakcinos gamintojo).</w:t>
            </w:r>
          </w:p>
        </w:tc>
      </w:tr>
      <w:tr w:rsidR="00D33124" w14:paraId="4D4BD627" w14:textId="77777777">
        <w:tc>
          <w:tcPr>
            <w:tcW w:w="3686" w:type="dxa"/>
          </w:tcPr>
          <w:p w14:paraId="69E1018D" w14:textId="77777777" w:rsidR="00813F1A" w:rsidRDefault="00D33124" w:rsidP="002831DA">
            <w:pPr>
              <w:spacing w:after="0" w:line="240" w:lineRule="auto"/>
              <w:jc w:val="both"/>
              <w:rPr>
                <w:b/>
              </w:rPr>
            </w:pPr>
            <w:r>
              <w:rPr>
                <w:b/>
              </w:rPr>
              <w:t xml:space="preserve">Prieš numatomą </w:t>
            </w:r>
          </w:p>
          <w:p w14:paraId="04BED98F" w14:textId="77777777" w:rsidR="00813F1A" w:rsidRDefault="00D33124" w:rsidP="002831DA">
            <w:pPr>
              <w:spacing w:after="0" w:line="240" w:lineRule="auto"/>
              <w:jc w:val="both"/>
              <w:rPr>
                <w:b/>
              </w:rPr>
            </w:pPr>
            <w:r>
              <w:rPr>
                <w:b/>
              </w:rPr>
              <w:t>skirti komplemento</w:t>
            </w:r>
          </w:p>
          <w:p w14:paraId="0F95F857" w14:textId="77777777" w:rsidR="00813F1A" w:rsidRDefault="00D33124" w:rsidP="002831DA">
            <w:pPr>
              <w:spacing w:after="0" w:line="240" w:lineRule="auto"/>
              <w:jc w:val="both"/>
              <w:rPr>
                <w:b/>
              </w:rPr>
            </w:pPr>
            <w:r>
              <w:rPr>
                <w:b/>
              </w:rPr>
              <w:t xml:space="preserve"> inhibitorių </w:t>
            </w:r>
          </w:p>
          <w:p w14:paraId="68D7DA48" w14:textId="0764DE87" w:rsidR="00D33124" w:rsidRDefault="00D33124" w:rsidP="002831DA">
            <w:pPr>
              <w:spacing w:after="0" w:line="240" w:lineRule="auto"/>
              <w:jc w:val="both"/>
              <w:rPr>
                <w:b/>
              </w:rPr>
            </w:pPr>
            <w:r>
              <w:rPr>
                <w:b/>
              </w:rPr>
              <w:t>ekulizumabą</w:t>
            </w:r>
          </w:p>
        </w:tc>
        <w:tc>
          <w:tcPr>
            <w:tcW w:w="3402" w:type="dxa"/>
          </w:tcPr>
          <w:p w14:paraId="0384C38F" w14:textId="174EF701" w:rsidR="00401B1B" w:rsidRPr="00401B1B" w:rsidRDefault="00401B1B" w:rsidP="002831DA">
            <w:pPr>
              <w:spacing w:after="0" w:line="240" w:lineRule="auto"/>
              <w:jc w:val="both"/>
            </w:pPr>
            <w:r w:rsidRPr="00401B1B">
              <w:t>MenB vakcina</w:t>
            </w:r>
          </w:p>
          <w:p w14:paraId="3BDDF4CB" w14:textId="2ADE885C" w:rsidR="00D33124" w:rsidRPr="0086686A" w:rsidRDefault="00AF63BF" w:rsidP="00401B1B">
            <w:pPr>
              <w:spacing w:after="0" w:line="240" w:lineRule="auto"/>
              <w:jc w:val="both"/>
              <w:rPr>
                <w:color w:val="000000" w:themeColor="text1"/>
              </w:rPr>
            </w:pPr>
            <w:r w:rsidRPr="0086686A">
              <w:rPr>
                <w:color w:val="000000" w:themeColor="text1"/>
              </w:rPr>
              <w:t>MenA,C,W,Y</w:t>
            </w:r>
            <w:r w:rsidR="00D33124" w:rsidRPr="0086686A">
              <w:rPr>
                <w:color w:val="000000" w:themeColor="text1"/>
              </w:rPr>
              <w:t xml:space="preserve"> vakcina</w:t>
            </w:r>
          </w:p>
        </w:tc>
        <w:tc>
          <w:tcPr>
            <w:tcW w:w="4111" w:type="dxa"/>
          </w:tcPr>
          <w:p w14:paraId="50B15E3A" w14:textId="4F040243" w:rsidR="00464596" w:rsidRPr="0086686A" w:rsidRDefault="00464596" w:rsidP="00464596">
            <w:pPr>
              <w:spacing w:after="0" w:line="240" w:lineRule="auto"/>
              <w:jc w:val="both"/>
              <w:rPr>
                <w:color w:val="000000" w:themeColor="text1"/>
                <w:lang w:val="lt-LT"/>
              </w:rPr>
            </w:pPr>
            <w:r w:rsidRPr="0086686A">
              <w:rPr>
                <w:color w:val="000000" w:themeColor="text1"/>
                <w:lang w:val="lt-LT"/>
              </w:rPr>
              <w:t>Jeigu skiepijimui pasirenkama MenB-</w:t>
            </w:r>
            <w:r w:rsidRPr="0086686A">
              <w:rPr>
                <w:color w:val="000000" w:themeColor="text1"/>
              </w:rPr>
              <w:t>4C vakcina (</w:t>
            </w:r>
            <w:r w:rsidRPr="0086686A">
              <w:rPr>
                <w:i/>
                <w:color w:val="000000" w:themeColor="text1"/>
              </w:rPr>
              <w:t>Bexsero</w:t>
            </w:r>
            <w:r w:rsidRPr="0086686A">
              <w:rPr>
                <w:color w:val="000000" w:themeColor="text1"/>
              </w:rPr>
              <w:t>), rekomenduojama 2 dozes su ma</w:t>
            </w:r>
            <w:r w:rsidRPr="0086686A">
              <w:rPr>
                <w:color w:val="000000" w:themeColor="text1"/>
                <w:lang w:val="lt-LT"/>
              </w:rPr>
              <w:t xml:space="preserve">žiausiai </w:t>
            </w:r>
            <w:r w:rsidRPr="0086686A">
              <w:rPr>
                <w:color w:val="000000" w:themeColor="text1"/>
              </w:rPr>
              <w:t>1 m</w:t>
            </w:r>
            <w:r w:rsidRPr="0086686A">
              <w:rPr>
                <w:color w:val="000000" w:themeColor="text1"/>
                <w:lang w:val="lt-LT"/>
              </w:rPr>
              <w:t>ėnesio intervalu</w:t>
            </w:r>
            <w:r w:rsidR="00E63EA3" w:rsidRPr="0086686A">
              <w:rPr>
                <w:color w:val="000000" w:themeColor="text1"/>
                <w:lang w:val="lt-LT"/>
              </w:rPr>
              <w:t xml:space="preserve"> tarp dozių</w:t>
            </w:r>
            <w:r w:rsidRPr="0086686A">
              <w:rPr>
                <w:color w:val="000000" w:themeColor="text1"/>
                <w:lang w:val="lt-LT"/>
              </w:rPr>
              <w:t xml:space="preserve"> įskiepyti l</w:t>
            </w:r>
            <w:r w:rsidR="001B691E" w:rsidRPr="0086686A">
              <w:rPr>
                <w:color w:val="000000" w:themeColor="text1"/>
                <w:lang w:val="lt-LT"/>
              </w:rPr>
              <w:t>ikus ne mažiau kaip 2 savaitėms iki pirmosios ekulizumabo doz</w:t>
            </w:r>
            <w:r w:rsidR="00DD4E97" w:rsidRPr="0086686A">
              <w:rPr>
                <w:color w:val="000000" w:themeColor="text1"/>
                <w:lang w:val="lt-LT"/>
              </w:rPr>
              <w:t>ės</w:t>
            </w:r>
            <w:r w:rsidRPr="0086686A">
              <w:rPr>
                <w:color w:val="000000" w:themeColor="text1"/>
                <w:lang w:val="lt-LT"/>
              </w:rPr>
              <w:t>.</w:t>
            </w:r>
          </w:p>
          <w:p w14:paraId="2B55ED4F" w14:textId="398EFA0A" w:rsidR="00E63EA3" w:rsidRPr="0086686A" w:rsidRDefault="00464596" w:rsidP="00464596">
            <w:pPr>
              <w:spacing w:after="0" w:line="240" w:lineRule="auto"/>
              <w:jc w:val="both"/>
              <w:rPr>
                <w:color w:val="000000" w:themeColor="text1"/>
                <w:lang w:val="lt-LT"/>
              </w:rPr>
            </w:pPr>
            <w:r w:rsidRPr="0086686A">
              <w:rPr>
                <w:color w:val="000000" w:themeColor="text1"/>
                <w:lang w:val="lt-LT"/>
              </w:rPr>
              <w:t xml:space="preserve">Jeigu skiepijimui pasirenkama </w:t>
            </w:r>
            <w:r w:rsidR="00DD4E97" w:rsidRPr="0086686A">
              <w:rPr>
                <w:color w:val="000000" w:themeColor="text1"/>
                <w:lang w:val="lt-LT"/>
              </w:rPr>
              <w:t xml:space="preserve"> </w:t>
            </w:r>
            <w:r w:rsidRPr="0086686A">
              <w:rPr>
                <w:color w:val="000000" w:themeColor="text1"/>
                <w:lang w:val="lt-LT"/>
              </w:rPr>
              <w:t xml:space="preserve">MenB-FHbp </w:t>
            </w:r>
            <w:r w:rsidR="00E63EA3" w:rsidRPr="0086686A">
              <w:rPr>
                <w:color w:val="000000" w:themeColor="text1"/>
                <w:lang w:val="lt-LT"/>
              </w:rPr>
              <w:t>vakcina</w:t>
            </w:r>
            <w:r w:rsidRPr="0086686A">
              <w:rPr>
                <w:color w:val="000000" w:themeColor="text1"/>
                <w:lang w:val="lt-LT"/>
              </w:rPr>
              <w:t xml:space="preserve"> (</w:t>
            </w:r>
            <w:r w:rsidRPr="0086686A">
              <w:rPr>
                <w:i/>
                <w:color w:val="000000" w:themeColor="text1"/>
                <w:lang w:val="lt-LT"/>
              </w:rPr>
              <w:t>Trumenba</w:t>
            </w:r>
            <w:r w:rsidRPr="0086686A">
              <w:rPr>
                <w:color w:val="000000" w:themeColor="text1"/>
                <w:lang w:val="lt-LT"/>
              </w:rPr>
              <w:t>)</w:t>
            </w:r>
            <w:r w:rsidR="00E63EA3" w:rsidRPr="0086686A">
              <w:rPr>
                <w:color w:val="000000" w:themeColor="text1"/>
                <w:lang w:val="lt-LT"/>
              </w:rPr>
              <w:t xml:space="preserve">, rekomenduojama </w:t>
            </w:r>
            <w:r w:rsidR="00E63EA3" w:rsidRPr="0086686A">
              <w:rPr>
                <w:color w:val="000000" w:themeColor="text1"/>
              </w:rPr>
              <w:t>2 dozes su</w:t>
            </w:r>
            <w:r w:rsidRPr="0086686A">
              <w:rPr>
                <w:color w:val="000000" w:themeColor="text1"/>
                <w:lang w:val="lt-LT"/>
              </w:rPr>
              <w:t xml:space="preserve"> 1-2 mėnesių intervalu tarp dozių</w:t>
            </w:r>
            <w:r w:rsidR="00E63EA3" w:rsidRPr="0086686A">
              <w:rPr>
                <w:color w:val="000000" w:themeColor="text1"/>
                <w:lang w:val="lt-LT"/>
              </w:rPr>
              <w:t xml:space="preserve"> įskiepyti likus ne mažiau kaip 2 savaitėms iki pirmosios ekulizumabo dozės</w:t>
            </w:r>
            <w:r w:rsidRPr="0086686A">
              <w:rPr>
                <w:color w:val="000000" w:themeColor="text1"/>
                <w:lang w:val="lt-LT"/>
              </w:rPr>
              <w:t xml:space="preserve">, </w:t>
            </w:r>
            <w:r w:rsidR="00E63EA3" w:rsidRPr="0086686A">
              <w:rPr>
                <w:color w:val="000000" w:themeColor="text1"/>
                <w:lang w:val="lt-LT"/>
              </w:rPr>
              <w:t xml:space="preserve">o </w:t>
            </w:r>
            <w:r w:rsidR="00121E42" w:rsidRPr="0086686A">
              <w:rPr>
                <w:color w:val="000000" w:themeColor="text1"/>
                <w:lang w:val="lt-LT"/>
              </w:rPr>
              <w:t>3-</w:t>
            </w:r>
            <w:r w:rsidR="009D5C74" w:rsidRPr="0086686A">
              <w:rPr>
                <w:color w:val="000000" w:themeColor="text1"/>
                <w:lang w:val="lt-LT"/>
              </w:rPr>
              <w:t>iąją dozę</w:t>
            </w:r>
            <w:r w:rsidRPr="0086686A">
              <w:rPr>
                <w:color w:val="000000" w:themeColor="text1"/>
                <w:lang w:val="lt-LT"/>
              </w:rPr>
              <w:t xml:space="preserve"> įskiep</w:t>
            </w:r>
            <w:r w:rsidR="009D5C74" w:rsidRPr="0086686A">
              <w:rPr>
                <w:color w:val="000000" w:themeColor="text1"/>
                <w:lang w:val="lt-LT"/>
              </w:rPr>
              <w:t>yti</w:t>
            </w:r>
            <w:r w:rsidRPr="0086686A">
              <w:rPr>
                <w:color w:val="000000" w:themeColor="text1"/>
                <w:lang w:val="lt-LT"/>
              </w:rPr>
              <w:t xml:space="preserve"> praėjus mažiausiai </w:t>
            </w:r>
            <w:r w:rsidRPr="0086686A">
              <w:rPr>
                <w:color w:val="000000" w:themeColor="text1"/>
              </w:rPr>
              <w:t>4 m</w:t>
            </w:r>
            <w:r w:rsidR="00121E42" w:rsidRPr="0086686A">
              <w:rPr>
                <w:color w:val="000000" w:themeColor="text1"/>
                <w:lang w:val="lt-LT"/>
              </w:rPr>
              <w:t>ėnesiams po antrosios.</w:t>
            </w:r>
          </w:p>
          <w:p w14:paraId="4D04D428" w14:textId="00F1B806" w:rsidR="00464596" w:rsidRPr="00AF63BF" w:rsidRDefault="00464596" w:rsidP="00E5448D">
            <w:pPr>
              <w:spacing w:after="0" w:line="240" w:lineRule="auto"/>
              <w:jc w:val="both"/>
              <w:rPr>
                <w:lang w:val="lt-LT"/>
              </w:rPr>
            </w:pPr>
            <w:r w:rsidRPr="0086686A">
              <w:rPr>
                <w:color w:val="000000" w:themeColor="text1"/>
                <w:lang w:val="lt-LT"/>
              </w:rPr>
              <w:t xml:space="preserve">MenA,C,W,Y vakcinos </w:t>
            </w:r>
            <w:r w:rsidRPr="0086686A">
              <w:rPr>
                <w:color w:val="000000" w:themeColor="text1"/>
              </w:rPr>
              <w:t>1 doz</w:t>
            </w:r>
            <w:r w:rsidRPr="0086686A">
              <w:rPr>
                <w:color w:val="000000" w:themeColor="text1"/>
                <w:lang w:val="lt-LT"/>
              </w:rPr>
              <w:t>ė</w:t>
            </w:r>
            <w:r w:rsidR="00E63EA3" w:rsidRPr="0086686A">
              <w:rPr>
                <w:color w:val="000000" w:themeColor="text1"/>
                <w:lang w:val="lt-LT"/>
              </w:rPr>
              <w:t xml:space="preserve"> skiepijama likus ne mažiau kaip 2 savaitėms iki pirmosios ekulizumabo dozės</w:t>
            </w:r>
            <w:r w:rsidR="00121E42" w:rsidRPr="0086686A">
              <w:rPr>
                <w:color w:val="000000" w:themeColor="text1"/>
                <w:lang w:val="lt-LT"/>
              </w:rPr>
              <w:t>;</w:t>
            </w:r>
            <w:r w:rsidR="00E63EA3" w:rsidRPr="0086686A">
              <w:rPr>
                <w:color w:val="000000" w:themeColor="text1"/>
                <w:lang w:val="lt-LT"/>
              </w:rPr>
              <w:t xml:space="preserve"> vėliau</w:t>
            </w:r>
            <w:r w:rsidRPr="0086686A">
              <w:rPr>
                <w:color w:val="000000" w:themeColor="text1"/>
                <w:lang w:val="lt-LT"/>
              </w:rPr>
              <w:t xml:space="preserve"> revakcinacijos kas </w:t>
            </w:r>
            <w:r w:rsidR="00E63EA3" w:rsidRPr="0086686A">
              <w:rPr>
                <w:color w:val="000000" w:themeColor="text1"/>
              </w:rPr>
              <w:t>5 metai tol, kol tęsiasi gydymas ekulizumabu.</w:t>
            </w:r>
          </w:p>
        </w:tc>
      </w:tr>
    </w:tbl>
    <w:p w14:paraId="60F1143A" w14:textId="77777777" w:rsidR="00D74C6B" w:rsidRDefault="00D74C6B">
      <w:pPr>
        <w:spacing w:after="120"/>
        <w:rPr>
          <w:b/>
          <w:color w:val="000000" w:themeColor="text1"/>
        </w:rPr>
      </w:pPr>
    </w:p>
    <w:p w14:paraId="0D23618B" w14:textId="77777777" w:rsidR="008C3617" w:rsidRDefault="00D02CE4">
      <w:pPr>
        <w:spacing w:after="120"/>
      </w:pPr>
      <w:r w:rsidRPr="00A52D8F">
        <w:rPr>
          <w:b/>
          <w:color w:val="000000" w:themeColor="text1"/>
        </w:rPr>
        <w:t>Paaiškinimai</w:t>
      </w:r>
      <w:r w:rsidRPr="00A52D8F">
        <w:rPr>
          <w:b/>
        </w:rPr>
        <w:t>:</w:t>
      </w:r>
    </w:p>
    <w:p w14:paraId="2161C0C7" w14:textId="0478BDD9" w:rsidR="008C3617" w:rsidRDefault="00D02CE4">
      <w:pPr>
        <w:spacing w:after="120"/>
      </w:pPr>
      <w:r>
        <w:t>PCV13 – pneumokokinė polisacharidinė konjuguota 13-valentė vakcina</w:t>
      </w:r>
    </w:p>
    <w:p w14:paraId="3E2D5D5F" w14:textId="2717EC1A" w:rsidR="008C3617" w:rsidRDefault="00D02CE4">
      <w:pPr>
        <w:spacing w:after="120"/>
      </w:pPr>
      <w:r>
        <w:t>PPSV23 – pneumokokinė polisacharidinė 23-valentė vakcina</w:t>
      </w:r>
    </w:p>
    <w:p w14:paraId="6D63DF80" w14:textId="20EBF1C7" w:rsidR="008C3617" w:rsidRDefault="00D02CE4">
      <w:pPr>
        <w:spacing w:after="120"/>
      </w:pPr>
      <w:r>
        <w:t>Td – difterijos, stabligės toksoidų vakcina</w:t>
      </w:r>
    </w:p>
    <w:p w14:paraId="2B82111C" w14:textId="5BC95E3E" w:rsidR="008C3617" w:rsidRDefault="00D02CE4">
      <w:pPr>
        <w:spacing w:after="120"/>
      </w:pPr>
      <w:r>
        <w:t xml:space="preserve">Tdap - difterijos, stabligės toksoidų ir </w:t>
      </w:r>
      <w:r w:rsidR="009602A2">
        <w:t xml:space="preserve">neląstelinio </w:t>
      </w:r>
      <w:r>
        <w:t>kokliušo vakcina</w:t>
      </w:r>
    </w:p>
    <w:p w14:paraId="37D73052" w14:textId="1D080501" w:rsidR="008C3617" w:rsidRPr="00992AFC" w:rsidRDefault="00D02CE4">
      <w:pPr>
        <w:spacing w:after="120"/>
      </w:pPr>
      <w:r w:rsidRPr="00992AFC">
        <w:t>VHB –</w:t>
      </w:r>
      <w:r w:rsidR="000F38DF" w:rsidRPr="00992AFC">
        <w:t xml:space="preserve"> virusinio </w:t>
      </w:r>
      <w:r w:rsidRPr="00992AFC">
        <w:t>hepatit</w:t>
      </w:r>
      <w:r w:rsidR="009602A2" w:rsidRPr="00992AFC">
        <w:t>o</w:t>
      </w:r>
      <w:r w:rsidRPr="00992AFC">
        <w:t xml:space="preserve"> B </w:t>
      </w:r>
      <w:r w:rsidR="009602A2" w:rsidRPr="00992AFC">
        <w:t>vakcina</w:t>
      </w:r>
    </w:p>
    <w:p w14:paraId="12910C21" w14:textId="0C9C26C3" w:rsidR="00AD0735" w:rsidRPr="00992AFC" w:rsidRDefault="008A2C1A">
      <w:pPr>
        <w:spacing w:after="120"/>
      </w:pPr>
      <w:r w:rsidRPr="00992AFC">
        <w:t>HBsAg – hepatito B viruso paviršiaus antigenas</w:t>
      </w:r>
    </w:p>
    <w:p w14:paraId="5D87BEF6" w14:textId="3DAE2AB4" w:rsidR="008A2C1A" w:rsidRPr="00992AFC" w:rsidRDefault="008A2C1A">
      <w:pPr>
        <w:spacing w:after="120"/>
      </w:pPr>
      <w:r w:rsidRPr="00992AFC">
        <w:t>Anti-HBc – antikūnai prieš hepatito B viruso šerdinį antigeną</w:t>
      </w:r>
    </w:p>
    <w:p w14:paraId="37DD5649" w14:textId="4143F0D5" w:rsidR="008A2C1A" w:rsidRPr="00992AFC" w:rsidRDefault="008A2C1A">
      <w:pPr>
        <w:spacing w:after="120"/>
      </w:pPr>
      <w:r w:rsidRPr="00992AFC">
        <w:t>Anti-HBs – antikūnai prieš hepatito B viruso paviršiaus antigeną</w:t>
      </w:r>
    </w:p>
    <w:p w14:paraId="556588C3" w14:textId="00FB5A77" w:rsidR="008C3617" w:rsidRPr="00956F84" w:rsidRDefault="00D02CE4">
      <w:pPr>
        <w:spacing w:after="120"/>
        <w:rPr>
          <w:color w:val="000000" w:themeColor="text1"/>
          <w:lang w:val="lt-LT"/>
        </w:rPr>
      </w:pPr>
      <w:r w:rsidRPr="00956F84">
        <w:rPr>
          <w:color w:val="000000" w:themeColor="text1"/>
          <w:lang w:val="lt-LT"/>
        </w:rPr>
        <w:t>MenB – meningokok</w:t>
      </w:r>
      <w:r w:rsidR="00AF63BF" w:rsidRPr="00956F84">
        <w:rPr>
          <w:color w:val="000000" w:themeColor="text1"/>
          <w:lang w:val="lt-LT"/>
        </w:rPr>
        <w:t>ų B grupės vakcina</w:t>
      </w:r>
      <w:r w:rsidRPr="00956F84">
        <w:rPr>
          <w:color w:val="000000" w:themeColor="text1"/>
          <w:lang w:val="lt-LT"/>
        </w:rPr>
        <w:t xml:space="preserve"> </w:t>
      </w:r>
    </w:p>
    <w:p w14:paraId="34D05924" w14:textId="6107F5D2" w:rsidR="008C3617" w:rsidRPr="00956F84" w:rsidRDefault="00D02CE4">
      <w:pPr>
        <w:spacing w:after="120"/>
        <w:rPr>
          <w:color w:val="000000" w:themeColor="text1"/>
          <w:lang w:val="lt-LT"/>
        </w:rPr>
      </w:pPr>
      <w:r w:rsidRPr="00956F84">
        <w:rPr>
          <w:color w:val="000000" w:themeColor="text1"/>
          <w:lang w:val="lt-LT"/>
        </w:rPr>
        <w:lastRenderedPageBreak/>
        <w:t>M</w:t>
      </w:r>
      <w:r w:rsidR="00AF63BF" w:rsidRPr="00956F84">
        <w:rPr>
          <w:color w:val="000000" w:themeColor="text1"/>
          <w:lang w:val="lt-LT"/>
        </w:rPr>
        <w:t>enA,C,W,Y</w:t>
      </w:r>
      <w:r w:rsidRPr="00956F84">
        <w:rPr>
          <w:color w:val="000000" w:themeColor="text1"/>
          <w:lang w:val="lt-LT"/>
        </w:rPr>
        <w:t xml:space="preserve"> – meningokok</w:t>
      </w:r>
      <w:r w:rsidR="00AF63BF" w:rsidRPr="00956F84">
        <w:rPr>
          <w:color w:val="000000" w:themeColor="text1"/>
          <w:lang w:val="lt-LT"/>
        </w:rPr>
        <w:t>ų</w:t>
      </w:r>
      <w:r w:rsidRPr="00956F84">
        <w:rPr>
          <w:color w:val="000000" w:themeColor="text1"/>
          <w:lang w:val="lt-LT"/>
        </w:rPr>
        <w:t xml:space="preserve"> </w:t>
      </w:r>
      <w:r w:rsidR="00AF63BF" w:rsidRPr="00956F84">
        <w:rPr>
          <w:color w:val="000000" w:themeColor="text1"/>
          <w:lang w:val="lt-LT"/>
        </w:rPr>
        <w:t>A,C,W-135 ir Y grupių konjuguota vakcina</w:t>
      </w:r>
    </w:p>
    <w:p w14:paraId="37F87858" w14:textId="77777777" w:rsidR="008C3617" w:rsidRDefault="008C3617">
      <w:pPr>
        <w:spacing w:after="120"/>
      </w:pPr>
    </w:p>
    <w:p w14:paraId="522D9FA2" w14:textId="77777777" w:rsidR="008C3617" w:rsidRPr="00A52D8F" w:rsidRDefault="00D02CE4">
      <w:pPr>
        <w:jc w:val="both"/>
        <w:rPr>
          <w:b/>
        </w:rPr>
      </w:pPr>
      <w:r w:rsidRPr="00A52D8F">
        <w:rPr>
          <w:b/>
        </w:rPr>
        <w:t>Literatūros šaltiniai:</w:t>
      </w:r>
    </w:p>
    <w:p w14:paraId="3B51F79F" w14:textId="141A8BD9" w:rsidR="008C3617" w:rsidRDefault="00D02CE4">
      <w:pPr>
        <w:pStyle w:val="ListParagraph1"/>
        <w:numPr>
          <w:ilvl w:val="0"/>
          <w:numId w:val="1"/>
        </w:numPr>
        <w:ind w:left="714" w:hanging="357"/>
        <w:jc w:val="both"/>
      </w:pPr>
      <w:r>
        <w:t>KDIGO 2012 Clinical Practice Guideline for the Evaluation and Management of Chronic Kidney Disease. Kidney International Supplements</w:t>
      </w:r>
      <w:r w:rsidR="00DC6570">
        <w:t>.</w:t>
      </w:r>
      <w:r>
        <w:t xml:space="preserve"> 2013</w:t>
      </w:r>
      <w:r w:rsidR="00DC6570">
        <w:t>,</w:t>
      </w:r>
      <w:r w:rsidR="006D09FF">
        <w:t xml:space="preserve"> </w:t>
      </w:r>
      <w:r>
        <w:t>3</w:t>
      </w:r>
      <w:r w:rsidR="00DC6570">
        <w:t>:</w:t>
      </w:r>
      <w:r w:rsidR="006D09FF">
        <w:t xml:space="preserve"> </w:t>
      </w:r>
      <w:r>
        <w:t>91-111.</w:t>
      </w:r>
    </w:p>
    <w:p w14:paraId="3E3FBC05" w14:textId="290D1875" w:rsidR="00742DC8" w:rsidRDefault="00742DC8" w:rsidP="00742DC8">
      <w:pPr>
        <w:pStyle w:val="ListParagraph1"/>
        <w:numPr>
          <w:ilvl w:val="0"/>
          <w:numId w:val="1"/>
        </w:numPr>
        <w:ind w:left="714" w:hanging="357"/>
        <w:jc w:val="both"/>
      </w:pPr>
      <w:r>
        <w:t>KDIGO 2017 Clinical Practice Guideline Update for the Diagnosis, Evaluation, Prevention, and Treatment of Chronic Kidney Disease – Mineral and Bone Disorder (CKD-MBD). Kidney International Supplements. 2017, 7: 1-59.</w:t>
      </w:r>
      <w:r w:rsidR="005E7876">
        <w:t xml:space="preserve">                                      </w:t>
      </w:r>
    </w:p>
    <w:p w14:paraId="52956C92" w14:textId="77777777" w:rsidR="008C3617" w:rsidRDefault="00D02CE4">
      <w:pPr>
        <w:pStyle w:val="ListParagraph1"/>
        <w:numPr>
          <w:ilvl w:val="0"/>
          <w:numId w:val="1"/>
        </w:numPr>
        <w:ind w:left="714" w:hanging="357"/>
        <w:jc w:val="both"/>
      </w:pPr>
      <w:r>
        <w:t>Use of 13-Valent Pneumococcal Conjugate Vaccine and 23-Valent Pneumococcal Polysaccharide Vaccine for Adults with Immunocompromising Conditions: Recommendations of the Advisory Committee on Immunization Practices (ACIP) MMWR/October 12, 2012/Vol.61/No 40.</w:t>
      </w:r>
    </w:p>
    <w:p w14:paraId="0042B54C" w14:textId="6370F398" w:rsidR="008C3617" w:rsidRPr="008E3EF7" w:rsidRDefault="00E63EA3" w:rsidP="008E3EF7">
      <w:pPr>
        <w:pStyle w:val="ListParagraph1"/>
        <w:numPr>
          <w:ilvl w:val="0"/>
          <w:numId w:val="1"/>
        </w:numPr>
        <w:jc w:val="both"/>
        <w:rPr>
          <w:b/>
          <w:sz w:val="24"/>
          <w:szCs w:val="24"/>
        </w:rPr>
      </w:pPr>
      <w:r w:rsidRPr="008E3EF7">
        <w:rPr>
          <w:color w:val="000000" w:themeColor="text1"/>
        </w:rPr>
        <w:t>Kim et al. R</w:t>
      </w:r>
      <w:r w:rsidR="003C6B6C">
        <w:rPr>
          <w:color w:val="000000" w:themeColor="text1"/>
        </w:rPr>
        <w:t>ecommended Immunization Schedul</w:t>
      </w:r>
      <w:r w:rsidRPr="008E3EF7">
        <w:rPr>
          <w:color w:val="000000" w:themeColor="text1"/>
        </w:rPr>
        <w:t>e for Adults Aged 19 Years or Older, United States 2017. Ann Intern Med. 2017; 166: 209-18. Doi: 10.7326/M16-2936</w:t>
      </w:r>
      <w:r w:rsidR="00BD054F" w:rsidRPr="008E3EF7">
        <w:rPr>
          <w:color w:val="000000" w:themeColor="text1"/>
        </w:rPr>
        <w:t>.</w:t>
      </w:r>
    </w:p>
    <w:p w14:paraId="1A31E606" w14:textId="77777777" w:rsidR="008C3617" w:rsidRDefault="008C3617">
      <w:pPr>
        <w:rPr>
          <w:b/>
          <w:sz w:val="24"/>
          <w:szCs w:val="24"/>
        </w:rPr>
      </w:pPr>
    </w:p>
    <w:p w14:paraId="1D0682C7" w14:textId="77777777" w:rsidR="006123B9" w:rsidRDefault="006123B9">
      <w:pPr>
        <w:rPr>
          <w:b/>
          <w:sz w:val="24"/>
          <w:szCs w:val="24"/>
        </w:rPr>
      </w:pPr>
    </w:p>
    <w:p w14:paraId="64C68F42" w14:textId="0833042E" w:rsidR="008C3617" w:rsidRPr="00B519CD" w:rsidRDefault="00B519CD" w:rsidP="00B519CD">
      <w:pPr>
        <w:pStyle w:val="ListParagraph"/>
        <w:numPr>
          <w:ilvl w:val="0"/>
          <w:numId w:val="15"/>
        </w:numPr>
        <w:jc w:val="both"/>
        <w:rPr>
          <w:b/>
          <w:sz w:val="24"/>
          <w:szCs w:val="24"/>
        </w:rPr>
      </w:pPr>
      <w:r w:rsidRPr="00B519CD">
        <w:rPr>
          <w:b/>
          <w:sz w:val="24"/>
          <w:szCs w:val="24"/>
        </w:rPr>
        <w:t>P</w:t>
      </w:r>
      <w:r w:rsidR="00D02CE4" w:rsidRPr="00B519CD">
        <w:rPr>
          <w:b/>
          <w:sz w:val="24"/>
          <w:szCs w:val="24"/>
        </w:rPr>
        <w:t>arenchiminių org</w:t>
      </w:r>
      <w:r w:rsidRPr="00B519CD">
        <w:rPr>
          <w:b/>
          <w:sz w:val="24"/>
          <w:szCs w:val="24"/>
        </w:rPr>
        <w:t>anų transplantacijos kandidatų ir recipientų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02"/>
        <w:gridCol w:w="4111"/>
      </w:tblGrid>
      <w:tr w:rsidR="008C3617" w14:paraId="6C11677F" w14:textId="77777777">
        <w:tc>
          <w:tcPr>
            <w:tcW w:w="3686" w:type="dxa"/>
          </w:tcPr>
          <w:p w14:paraId="3072B6A9" w14:textId="77777777" w:rsidR="008C3617" w:rsidRDefault="00D02CE4">
            <w:pPr>
              <w:spacing w:after="0" w:line="240" w:lineRule="auto"/>
              <w:rPr>
                <w:b/>
              </w:rPr>
            </w:pPr>
            <w:r>
              <w:rPr>
                <w:b/>
              </w:rPr>
              <w:t>Rizikos ligos/būklės</w:t>
            </w:r>
          </w:p>
        </w:tc>
        <w:tc>
          <w:tcPr>
            <w:tcW w:w="3402" w:type="dxa"/>
          </w:tcPr>
          <w:p w14:paraId="3BD64983" w14:textId="77777777" w:rsidR="008C3617" w:rsidRDefault="00D02CE4">
            <w:pPr>
              <w:spacing w:after="0" w:line="240" w:lineRule="auto"/>
              <w:rPr>
                <w:b/>
              </w:rPr>
            </w:pPr>
            <w:r>
              <w:rPr>
                <w:b/>
              </w:rPr>
              <w:t>Rekomenduojamos vakcinos</w:t>
            </w:r>
          </w:p>
        </w:tc>
        <w:tc>
          <w:tcPr>
            <w:tcW w:w="4111" w:type="dxa"/>
          </w:tcPr>
          <w:p w14:paraId="26CEF172" w14:textId="77777777" w:rsidR="008C3617" w:rsidRDefault="00D02CE4">
            <w:pPr>
              <w:spacing w:after="0" w:line="240" w:lineRule="auto"/>
              <w:rPr>
                <w:b/>
              </w:rPr>
            </w:pPr>
            <w:r>
              <w:rPr>
                <w:b/>
              </w:rPr>
              <w:t>Pastabos dėl vakcinų vartojimo</w:t>
            </w:r>
          </w:p>
        </w:tc>
      </w:tr>
      <w:tr w:rsidR="008C3617" w14:paraId="50E60E30" w14:textId="77777777">
        <w:tc>
          <w:tcPr>
            <w:tcW w:w="3686" w:type="dxa"/>
            <w:vMerge w:val="restart"/>
          </w:tcPr>
          <w:p w14:paraId="0DCB93BC" w14:textId="77777777" w:rsidR="007B23AB" w:rsidRDefault="00D02CE4" w:rsidP="007B23AB">
            <w:pPr>
              <w:spacing w:after="0" w:line="240" w:lineRule="auto"/>
              <w:rPr>
                <w:b/>
              </w:rPr>
            </w:pPr>
            <w:r>
              <w:rPr>
                <w:b/>
              </w:rPr>
              <w:t xml:space="preserve">Kandidatai </w:t>
            </w:r>
          </w:p>
          <w:p w14:paraId="5A74A954" w14:textId="77777777" w:rsidR="007B23AB" w:rsidRDefault="00D02CE4" w:rsidP="007B23AB">
            <w:pPr>
              <w:spacing w:after="0" w:line="240" w:lineRule="auto"/>
            </w:pPr>
            <w:r>
              <w:rPr>
                <w:b/>
              </w:rPr>
              <w:t xml:space="preserve">parenchiminių organų transplantacijai </w:t>
            </w:r>
            <w:r>
              <w:t xml:space="preserve">(inkstų, </w:t>
            </w:r>
          </w:p>
          <w:p w14:paraId="72BC5F1B" w14:textId="4890E95C" w:rsidR="008C3617" w:rsidRDefault="00D02CE4" w:rsidP="007B23AB">
            <w:pPr>
              <w:spacing w:after="0" w:line="240" w:lineRule="auto"/>
              <w:rPr>
                <w:b/>
              </w:rPr>
            </w:pPr>
            <w:r>
              <w:t>kepenų, širdies, plaučių)</w:t>
            </w:r>
          </w:p>
        </w:tc>
        <w:tc>
          <w:tcPr>
            <w:tcW w:w="3402" w:type="dxa"/>
            <w:tcBorders>
              <w:bottom w:val="single" w:sz="4" w:space="0" w:color="auto"/>
            </w:tcBorders>
          </w:tcPr>
          <w:p w14:paraId="3F998545" w14:textId="0538B459" w:rsidR="008C3617" w:rsidRDefault="008B1C5F" w:rsidP="00714157">
            <w:pPr>
              <w:spacing w:after="0" w:line="240" w:lineRule="auto"/>
              <w:jc w:val="both"/>
            </w:pPr>
            <w:r>
              <w:t>Gripo vakcina</w:t>
            </w:r>
          </w:p>
        </w:tc>
        <w:tc>
          <w:tcPr>
            <w:tcW w:w="4111" w:type="dxa"/>
            <w:tcBorders>
              <w:bottom w:val="single" w:sz="4" w:space="0" w:color="auto"/>
            </w:tcBorders>
          </w:tcPr>
          <w:p w14:paraId="66792750" w14:textId="4D50D35B" w:rsidR="008C3617" w:rsidRDefault="00011CD5" w:rsidP="00714157">
            <w:pPr>
              <w:spacing w:after="0" w:line="240" w:lineRule="auto"/>
              <w:jc w:val="both"/>
            </w:pPr>
            <w:r>
              <w:t xml:space="preserve">1 dozė </w:t>
            </w:r>
            <w:r w:rsidRPr="00011CD5">
              <w:t xml:space="preserve">kasmet </w:t>
            </w:r>
            <w:r w:rsidR="00BD5C2C">
              <w:t>prieš gripo sezoną.</w:t>
            </w:r>
          </w:p>
        </w:tc>
      </w:tr>
      <w:tr w:rsidR="008B1C5F" w14:paraId="30F7167F" w14:textId="77777777">
        <w:tc>
          <w:tcPr>
            <w:tcW w:w="3686" w:type="dxa"/>
            <w:vMerge/>
          </w:tcPr>
          <w:p w14:paraId="7DEEA25B" w14:textId="77777777" w:rsidR="008B1C5F" w:rsidRDefault="008B1C5F" w:rsidP="00714157">
            <w:pPr>
              <w:spacing w:after="0" w:line="240" w:lineRule="auto"/>
              <w:jc w:val="both"/>
              <w:rPr>
                <w:b/>
              </w:rPr>
            </w:pPr>
          </w:p>
        </w:tc>
        <w:tc>
          <w:tcPr>
            <w:tcW w:w="3402" w:type="dxa"/>
            <w:tcBorders>
              <w:bottom w:val="single" w:sz="4" w:space="0" w:color="auto"/>
            </w:tcBorders>
          </w:tcPr>
          <w:p w14:paraId="7A555332" w14:textId="77777777" w:rsidR="007B23AB" w:rsidRDefault="008B1C5F" w:rsidP="00714157">
            <w:pPr>
              <w:spacing w:after="0" w:line="240" w:lineRule="auto"/>
              <w:jc w:val="both"/>
            </w:pPr>
            <w:r>
              <w:t>Pneumokokinė</w:t>
            </w:r>
          </w:p>
          <w:p w14:paraId="46D77DEF" w14:textId="3665B122" w:rsidR="008B1C5F" w:rsidRDefault="008B1C5F" w:rsidP="00714157">
            <w:pPr>
              <w:spacing w:after="0" w:line="240" w:lineRule="auto"/>
              <w:jc w:val="both"/>
            </w:pPr>
            <w:r>
              <w:t xml:space="preserve"> vakcina</w:t>
            </w:r>
          </w:p>
        </w:tc>
        <w:tc>
          <w:tcPr>
            <w:tcW w:w="4111" w:type="dxa"/>
            <w:tcBorders>
              <w:bottom w:val="single" w:sz="4" w:space="0" w:color="auto"/>
            </w:tcBorders>
          </w:tcPr>
          <w:p w14:paraId="49DDC79A" w14:textId="77777777" w:rsidR="002712AC" w:rsidRPr="002712AC" w:rsidRDefault="002712AC" w:rsidP="0024440A">
            <w:pPr>
              <w:spacing w:after="0" w:line="240" w:lineRule="auto"/>
              <w:rPr>
                <w:lang w:val="lt-LT"/>
              </w:rPr>
            </w:pPr>
            <w:r w:rsidRPr="002712AC">
              <w:rPr>
                <w:lang w:val="lt-LT"/>
              </w:rPr>
              <w:t>Asmenys, kurie anksčiau nebuvo skiepyti pneumokokine vakcina (PKV13 ar PPSV23): 1 dozė PKV13.</w:t>
            </w:r>
          </w:p>
          <w:p w14:paraId="540723D9" w14:textId="5C3F394F" w:rsidR="008B1C5F" w:rsidRDefault="002712AC" w:rsidP="0024440A">
            <w:pPr>
              <w:spacing w:after="0" w:line="240" w:lineRule="auto"/>
            </w:pPr>
            <w:r w:rsidRPr="002712AC">
              <w:rPr>
                <w:lang w:val="lt-LT"/>
              </w:rPr>
              <w:t>Asmenys, kurie anksčiau buvo skiepyti PPSV23, bet nebuvo skiepyti PKV13: papildomai turėtų būti paskiepyti PKV13 praėjus mažiausiai 1 metams po PPSV23.</w:t>
            </w:r>
          </w:p>
        </w:tc>
      </w:tr>
      <w:tr w:rsidR="008C3617" w14:paraId="7F363883" w14:textId="77777777">
        <w:tc>
          <w:tcPr>
            <w:tcW w:w="3686" w:type="dxa"/>
            <w:vMerge/>
          </w:tcPr>
          <w:p w14:paraId="24BB3762" w14:textId="77777777" w:rsidR="008C3617" w:rsidRDefault="008C3617" w:rsidP="00714157">
            <w:pPr>
              <w:spacing w:after="0" w:line="240" w:lineRule="auto"/>
              <w:jc w:val="both"/>
              <w:rPr>
                <w:vertAlign w:val="superscript"/>
              </w:rPr>
            </w:pPr>
          </w:p>
        </w:tc>
        <w:tc>
          <w:tcPr>
            <w:tcW w:w="3402" w:type="dxa"/>
          </w:tcPr>
          <w:p w14:paraId="1E701E5E" w14:textId="1BC69725" w:rsidR="008C3617" w:rsidRDefault="00D02CE4" w:rsidP="00714157">
            <w:pPr>
              <w:spacing w:after="0" w:line="240" w:lineRule="auto"/>
              <w:jc w:val="both"/>
            </w:pPr>
            <w:r>
              <w:t>VHB vakcina</w:t>
            </w:r>
          </w:p>
        </w:tc>
        <w:tc>
          <w:tcPr>
            <w:tcW w:w="4111" w:type="dxa"/>
          </w:tcPr>
          <w:p w14:paraId="4E49C5CD" w14:textId="66CAD86B" w:rsidR="008C3617" w:rsidRDefault="00D02CE4" w:rsidP="0024440A">
            <w:pPr>
              <w:spacing w:after="0" w:line="240" w:lineRule="auto"/>
            </w:pPr>
            <w:r>
              <w:t>HBsAg</w:t>
            </w:r>
            <w:r w:rsidR="002831DA">
              <w:t>, anti-HBc</w:t>
            </w:r>
            <w:r>
              <w:t xml:space="preserve"> ir anti-HBs neigiamiems asmenims 3 dozių po 20 µg kursas</w:t>
            </w:r>
            <w:r w:rsidR="00B505C6">
              <w:t xml:space="preserve"> pagal schemą: 0, 1 ir 6 mėn</w:t>
            </w:r>
            <w:r w:rsidR="00FA12E8">
              <w:t>esiai</w:t>
            </w:r>
            <w:r w:rsidR="003F7B80">
              <w:t>. Jeigu</w:t>
            </w:r>
            <w:r w:rsidR="00016CCF">
              <w:t>,</w:t>
            </w:r>
            <w:r w:rsidR="003F7B80">
              <w:t xml:space="preserve"> praėjus 1-2 mėnesiams </w:t>
            </w:r>
            <w:r>
              <w:t xml:space="preserve">po paskutinės dozės </w:t>
            </w:r>
            <w:r w:rsidR="00B505C6">
              <w:t>skiepijimo</w:t>
            </w:r>
            <w:r w:rsidR="00016CCF">
              <w:t>,</w:t>
            </w:r>
            <w:r w:rsidR="00B505C6">
              <w:t xml:space="preserve"> </w:t>
            </w:r>
            <w:r w:rsidR="00D9487B">
              <w:t xml:space="preserve">aptinkama </w:t>
            </w:r>
            <w:r>
              <w:t>anti-HBs koncentracija &lt;</w:t>
            </w:r>
            <w:r w:rsidR="00D9487B">
              <w:t xml:space="preserve"> </w:t>
            </w:r>
            <w:r>
              <w:t>10 m</w:t>
            </w:r>
            <w:r w:rsidR="00B505C6">
              <w:t>TV</w:t>
            </w:r>
            <w:r>
              <w:t xml:space="preserve">/ml, </w:t>
            </w:r>
            <w:r w:rsidR="00B505C6">
              <w:t xml:space="preserve">tęsti skiepijimą ta pačia schema iki </w:t>
            </w:r>
            <w:r>
              <w:t>3 doz</w:t>
            </w:r>
            <w:r w:rsidR="00B505C6">
              <w:t>ių</w:t>
            </w:r>
            <w:r>
              <w:t xml:space="preserve"> po 20 µg.</w:t>
            </w:r>
          </w:p>
        </w:tc>
      </w:tr>
      <w:tr w:rsidR="008C3617" w14:paraId="4121ACCB" w14:textId="77777777">
        <w:tc>
          <w:tcPr>
            <w:tcW w:w="3686" w:type="dxa"/>
            <w:vMerge/>
          </w:tcPr>
          <w:p w14:paraId="5E230122" w14:textId="77777777" w:rsidR="008C3617" w:rsidRDefault="008C3617" w:rsidP="00714157">
            <w:pPr>
              <w:spacing w:after="0" w:line="240" w:lineRule="auto"/>
              <w:jc w:val="both"/>
            </w:pPr>
          </w:p>
        </w:tc>
        <w:tc>
          <w:tcPr>
            <w:tcW w:w="3402" w:type="dxa"/>
          </w:tcPr>
          <w:p w14:paraId="76492483" w14:textId="77777777" w:rsidR="007B23AB" w:rsidRDefault="00D02CE4" w:rsidP="0076587C">
            <w:pPr>
              <w:spacing w:after="0" w:line="240" w:lineRule="auto"/>
              <w:jc w:val="both"/>
            </w:pPr>
            <w:r>
              <w:t xml:space="preserve">Žmogaus papilomos </w:t>
            </w:r>
          </w:p>
          <w:p w14:paraId="1E21F56B" w14:textId="6F0ABA83" w:rsidR="008C3617" w:rsidRDefault="00D02CE4" w:rsidP="0076587C">
            <w:pPr>
              <w:spacing w:after="0" w:line="240" w:lineRule="auto"/>
              <w:jc w:val="both"/>
            </w:pPr>
            <w:r>
              <w:t>viruso</w:t>
            </w:r>
            <w:r w:rsidR="00B505C6">
              <w:t xml:space="preserve"> vakcina</w:t>
            </w:r>
          </w:p>
        </w:tc>
        <w:tc>
          <w:tcPr>
            <w:tcW w:w="4111" w:type="dxa"/>
          </w:tcPr>
          <w:p w14:paraId="17D0D254" w14:textId="7E82D8AD" w:rsidR="008C3617" w:rsidRDefault="00D02CE4" w:rsidP="00714157">
            <w:pPr>
              <w:spacing w:after="0" w:line="240" w:lineRule="auto"/>
              <w:jc w:val="both"/>
            </w:pPr>
            <w:r>
              <w:t>3 dozių kursas moterims pagal vakcinų aprašus</w:t>
            </w:r>
            <w:r w:rsidR="003F7B80">
              <w:t>.</w:t>
            </w:r>
          </w:p>
        </w:tc>
      </w:tr>
      <w:tr w:rsidR="008C3617" w14:paraId="2FFFCA34" w14:textId="77777777">
        <w:trPr>
          <w:trHeight w:val="1912"/>
        </w:trPr>
        <w:tc>
          <w:tcPr>
            <w:tcW w:w="3686" w:type="dxa"/>
            <w:vMerge/>
          </w:tcPr>
          <w:p w14:paraId="43EEBE23" w14:textId="77777777" w:rsidR="008C3617" w:rsidRDefault="008C3617" w:rsidP="00714157">
            <w:pPr>
              <w:spacing w:after="0" w:line="240" w:lineRule="auto"/>
              <w:jc w:val="both"/>
            </w:pPr>
          </w:p>
        </w:tc>
        <w:tc>
          <w:tcPr>
            <w:tcW w:w="3402" w:type="dxa"/>
          </w:tcPr>
          <w:p w14:paraId="39012F1D" w14:textId="114F1080" w:rsidR="008C3617" w:rsidRDefault="00D02CE4" w:rsidP="00714157">
            <w:pPr>
              <w:spacing w:after="0" w:line="240" w:lineRule="auto"/>
              <w:jc w:val="both"/>
            </w:pPr>
            <w:r>
              <w:t>Vėjaraupių</w:t>
            </w:r>
            <w:r w:rsidR="00B505C6">
              <w:t xml:space="preserve"> vakcina</w:t>
            </w:r>
          </w:p>
        </w:tc>
        <w:tc>
          <w:tcPr>
            <w:tcW w:w="4111" w:type="dxa"/>
          </w:tcPr>
          <w:p w14:paraId="7D7942AC" w14:textId="5B44A39C" w:rsidR="008C3617" w:rsidRDefault="003F7B80" w:rsidP="0024440A">
            <w:pPr>
              <w:spacing w:after="0" w:line="240" w:lineRule="auto"/>
            </w:pPr>
            <w:r>
              <w:t>2 dozės su 8 savaičių</w:t>
            </w:r>
            <w:r w:rsidR="0030172E">
              <w:t xml:space="preserve"> ar ilgesniu intervalu. 2-a</w:t>
            </w:r>
            <w:r w:rsidR="00D02CE4">
              <w:t xml:space="preserve"> dozė </w:t>
            </w:r>
            <w:r w:rsidR="0030172E">
              <w:t>turėtų būti skiepijam</w:t>
            </w:r>
            <w:r w:rsidR="00B505C6">
              <w:t xml:space="preserve">a </w:t>
            </w:r>
            <w:r w:rsidR="0030172E">
              <w:t>likus ne mažiau</w:t>
            </w:r>
            <w:r w:rsidR="009E3F2B">
              <w:t xml:space="preserve"> kaip</w:t>
            </w:r>
            <w:r w:rsidR="00D02CE4">
              <w:t xml:space="preserve"> </w:t>
            </w:r>
            <w:r w:rsidR="009E3F2B">
              <w:t>4 savaitėms</w:t>
            </w:r>
            <w:r w:rsidR="00D02CE4">
              <w:t xml:space="preserve"> iki numatyto</w:t>
            </w:r>
            <w:r w:rsidR="009E3F2B">
              <w:t>s transplantacijos. Rekomenduojama skie</w:t>
            </w:r>
            <w:r w:rsidR="0024440A">
              <w:t>pyti imlius vėjaraupiams asmenis, kurie nė</w:t>
            </w:r>
            <w:r w:rsidR="009E3F2B">
              <w:t xml:space="preserve">ra </w:t>
            </w:r>
            <w:r w:rsidR="00D02CE4">
              <w:t>sirgę</w:t>
            </w:r>
            <w:r w:rsidR="009E3F2B">
              <w:t xml:space="preserve"> vėjaraupiais</w:t>
            </w:r>
            <w:r w:rsidR="0024440A">
              <w:t xml:space="preserve">, neskiepyti, </w:t>
            </w:r>
            <w:r w:rsidR="00D02CE4">
              <w:t>kuriems laboratoriniais tyrimais nen</w:t>
            </w:r>
            <w:r w:rsidR="0024440A">
              <w:t>ustatytas specifinis imunitetas</w:t>
            </w:r>
            <w:r w:rsidR="00D02CE4">
              <w:t xml:space="preserve"> arba kurių imuni</w:t>
            </w:r>
            <w:r w:rsidR="009E3F2B">
              <w:t>nė būklė vėjaraupiams nežinoma ir</w:t>
            </w:r>
            <w:r w:rsidR="00D02CE4">
              <w:t xml:space="preserve"> nevartojantiems imunosupresinio gydymo.</w:t>
            </w:r>
          </w:p>
        </w:tc>
      </w:tr>
      <w:tr w:rsidR="008C3617" w14:paraId="1F5BD1C0" w14:textId="77777777">
        <w:trPr>
          <w:trHeight w:val="254"/>
        </w:trPr>
        <w:tc>
          <w:tcPr>
            <w:tcW w:w="3686" w:type="dxa"/>
            <w:vMerge/>
          </w:tcPr>
          <w:p w14:paraId="02FD0157" w14:textId="77777777" w:rsidR="008C3617" w:rsidRDefault="008C3617" w:rsidP="00714157">
            <w:pPr>
              <w:spacing w:after="0" w:line="240" w:lineRule="auto"/>
              <w:jc w:val="both"/>
            </w:pPr>
          </w:p>
        </w:tc>
        <w:tc>
          <w:tcPr>
            <w:tcW w:w="3402" w:type="dxa"/>
          </w:tcPr>
          <w:p w14:paraId="09A2166D" w14:textId="77777777" w:rsidR="007B23AB" w:rsidRDefault="00D02CE4" w:rsidP="007B23AB">
            <w:pPr>
              <w:spacing w:after="0" w:line="240" w:lineRule="auto"/>
            </w:pPr>
            <w:r>
              <w:rPr>
                <w:i/>
              </w:rPr>
              <w:t>Herpes zoster</w:t>
            </w:r>
            <w:r>
              <w:t xml:space="preserve"> vakcina</w:t>
            </w:r>
          </w:p>
          <w:p w14:paraId="2613D2FD" w14:textId="2A42F731" w:rsidR="008C3617" w:rsidRDefault="00D02CE4" w:rsidP="007B23AB">
            <w:pPr>
              <w:spacing w:after="0" w:line="240" w:lineRule="auto"/>
            </w:pPr>
            <w:r>
              <w:t xml:space="preserve"> (esant galimybei)</w:t>
            </w:r>
          </w:p>
        </w:tc>
        <w:tc>
          <w:tcPr>
            <w:tcW w:w="4111" w:type="dxa"/>
          </w:tcPr>
          <w:p w14:paraId="364F682A" w14:textId="1D4D11EB" w:rsidR="008C3617" w:rsidRDefault="00D02CE4" w:rsidP="00A24812">
            <w:pPr>
              <w:spacing w:after="0" w:line="240" w:lineRule="auto"/>
            </w:pPr>
            <w:r>
              <w:t xml:space="preserve">1 dozė </w:t>
            </w:r>
            <w:r w:rsidR="00A24812" w:rsidRPr="00A24812">
              <w:rPr>
                <w:lang w:val="lt-LT"/>
              </w:rPr>
              <w:t>≥</w:t>
            </w:r>
            <w:r w:rsidR="00A24812">
              <w:rPr>
                <w:lang w:val="lt-LT"/>
              </w:rPr>
              <w:t xml:space="preserve"> </w:t>
            </w:r>
            <w:r>
              <w:t xml:space="preserve">60 metų </w:t>
            </w:r>
            <w:r w:rsidR="00B505C6">
              <w:t xml:space="preserve">amžiaus asmenims </w:t>
            </w:r>
            <w:r>
              <w:t xml:space="preserve">ir tiems 50-59 metų amžiaus asmenims, kurie yra sirgę vėjaraupiais ar </w:t>
            </w:r>
            <w:r w:rsidR="00B505C6">
              <w:rPr>
                <w:i/>
              </w:rPr>
              <w:t>H</w:t>
            </w:r>
            <w:r w:rsidRPr="002831DA">
              <w:rPr>
                <w:i/>
              </w:rPr>
              <w:t>erpes</w:t>
            </w:r>
            <w:r>
              <w:t xml:space="preserve"> infekcija anamnezėje arba kuriems laboratoriniais tyrimais nustatytas specifinis imunitetas, jeigu nevartoja intensyvaus imunosupresinio gydymo (vėžio chemoterapija, sisteminiai kortikosteroidai, kurių dozė ekvivalentiška </w:t>
            </w:r>
            <w:r w:rsidR="00A24812" w:rsidRPr="00A24812">
              <w:rPr>
                <w:lang w:val="lt-LT"/>
              </w:rPr>
              <w:t>≥</w:t>
            </w:r>
            <w:r w:rsidR="00A24812">
              <w:t xml:space="preserve"> </w:t>
            </w:r>
            <w:r>
              <w:t xml:space="preserve">20 mg/parai prednizonolo </w:t>
            </w:r>
            <w:r w:rsidR="00A24812" w:rsidRPr="00A24812">
              <w:rPr>
                <w:lang w:val="lt-LT"/>
              </w:rPr>
              <w:t>≥</w:t>
            </w:r>
            <w:r w:rsidR="00A24812">
              <w:t xml:space="preserve"> </w:t>
            </w:r>
            <w:r>
              <w:t>14 parų,</w:t>
            </w:r>
            <w:r w:rsidR="005E08D7">
              <w:t xml:space="preserve"> </w:t>
            </w:r>
            <w:r>
              <w:t>biologiniai imunomoduliatoriai</w:t>
            </w:r>
            <w:r w:rsidR="00A24812">
              <w:t>,</w:t>
            </w:r>
            <w:r>
              <w:t xml:space="preserve"> tokie kaip TNF-α blokatoriai ar ritu</w:t>
            </w:r>
            <w:r w:rsidR="00B505C6">
              <w:t>ks</w:t>
            </w:r>
            <w:r>
              <w:t xml:space="preserve">imabas) ir transplantacija nėra numatyta </w:t>
            </w:r>
            <w:r w:rsidR="00B505C6">
              <w:t xml:space="preserve">per artimiausias </w:t>
            </w:r>
            <w:r>
              <w:t>4 sav</w:t>
            </w:r>
            <w:r w:rsidR="009E3F2B">
              <w:t>aites.</w:t>
            </w:r>
          </w:p>
        </w:tc>
      </w:tr>
      <w:tr w:rsidR="008C3617" w14:paraId="4B12DD80" w14:textId="77777777">
        <w:trPr>
          <w:trHeight w:val="331"/>
        </w:trPr>
        <w:tc>
          <w:tcPr>
            <w:tcW w:w="3686" w:type="dxa"/>
            <w:vMerge/>
          </w:tcPr>
          <w:p w14:paraId="208A78F6" w14:textId="77777777" w:rsidR="008C3617" w:rsidRDefault="008C3617">
            <w:pPr>
              <w:spacing w:after="0" w:line="240" w:lineRule="auto"/>
            </w:pPr>
          </w:p>
        </w:tc>
        <w:tc>
          <w:tcPr>
            <w:tcW w:w="3402" w:type="dxa"/>
          </w:tcPr>
          <w:p w14:paraId="7B4F3068" w14:textId="520805E7" w:rsidR="008C3617" w:rsidRDefault="00D02CE4" w:rsidP="006724D8">
            <w:pPr>
              <w:spacing w:after="0" w:line="240" w:lineRule="auto"/>
              <w:jc w:val="both"/>
            </w:pPr>
            <w:r>
              <w:t>Td</w:t>
            </w:r>
            <w:r w:rsidR="00B505C6">
              <w:t xml:space="preserve"> arba </w:t>
            </w:r>
            <w:r>
              <w:t>Tdap vakcin</w:t>
            </w:r>
            <w:r w:rsidR="00B505C6">
              <w:t>a</w:t>
            </w:r>
          </w:p>
        </w:tc>
        <w:tc>
          <w:tcPr>
            <w:tcW w:w="4111" w:type="dxa"/>
          </w:tcPr>
          <w:p w14:paraId="28010B15" w14:textId="0B05D61E" w:rsidR="008C3617" w:rsidRDefault="00D02CE4" w:rsidP="00E17257">
            <w:pPr>
              <w:spacing w:after="0" w:line="240" w:lineRule="auto"/>
            </w:pPr>
            <w:r>
              <w:t>1 dozė kas 10 metų</w:t>
            </w:r>
            <w:r w:rsidR="00E17257">
              <w:t xml:space="preserve"> </w:t>
            </w:r>
            <w:r w:rsidR="00E17257" w:rsidRPr="00E17257">
              <w:t xml:space="preserve">(Td vakcina), </w:t>
            </w:r>
            <w:r w:rsidR="00E17257" w:rsidRPr="00E17257">
              <w:rPr>
                <w:lang w:val="lt-LT"/>
              </w:rPr>
              <w:t>vieną revakcinaciją Td vakcina pakeisti revakcinacija nuo kokliušo, difterijos ir stabligės (Tdap vakcina), esant galimybei.</w:t>
            </w:r>
          </w:p>
        </w:tc>
      </w:tr>
      <w:tr w:rsidR="008C3617" w14:paraId="75C62C4E" w14:textId="77777777">
        <w:trPr>
          <w:trHeight w:val="234"/>
        </w:trPr>
        <w:tc>
          <w:tcPr>
            <w:tcW w:w="3686" w:type="dxa"/>
            <w:vMerge/>
          </w:tcPr>
          <w:p w14:paraId="2DC84C2C" w14:textId="77777777" w:rsidR="008C3617" w:rsidRDefault="008C3617">
            <w:pPr>
              <w:spacing w:after="0" w:line="240" w:lineRule="auto"/>
            </w:pPr>
          </w:p>
        </w:tc>
        <w:tc>
          <w:tcPr>
            <w:tcW w:w="3402" w:type="dxa"/>
          </w:tcPr>
          <w:p w14:paraId="781EF133" w14:textId="77777777" w:rsidR="008C3617" w:rsidRDefault="00D02CE4" w:rsidP="006724D8">
            <w:pPr>
              <w:spacing w:after="0" w:line="240" w:lineRule="auto"/>
              <w:jc w:val="both"/>
            </w:pPr>
            <w:r>
              <w:t>Erkinio encefalito vakcina</w:t>
            </w:r>
          </w:p>
        </w:tc>
        <w:tc>
          <w:tcPr>
            <w:tcW w:w="4111" w:type="dxa"/>
          </w:tcPr>
          <w:p w14:paraId="56181ABA" w14:textId="55FD9449" w:rsidR="008C3617" w:rsidRPr="007A76BB" w:rsidRDefault="00EB71FB" w:rsidP="007A76BB">
            <w:pPr>
              <w:spacing w:after="0" w:line="240" w:lineRule="auto"/>
              <w:rPr>
                <w:color w:val="000000"/>
              </w:rPr>
            </w:pPr>
            <w:r w:rsidRPr="007A76BB">
              <w:rPr>
                <w:color w:val="000000"/>
              </w:rPr>
              <w:t xml:space="preserve">3 vakcinos dozės: </w:t>
            </w:r>
            <w:r w:rsidR="007A76BB">
              <w:t>tarp 1-os ir 2-</w:t>
            </w:r>
            <w:r w:rsidRPr="007A76BB">
              <w:t xml:space="preserve">os vakcinos dozių rekomenduojamas </w:t>
            </w:r>
            <w:r w:rsidR="007A76BB">
              <w:t>1-3 mėnesių intervalas, tarp 2-os ir 3-</w:t>
            </w:r>
            <w:r w:rsidR="005E3AC5">
              <w:t>i</w:t>
            </w:r>
            <w:r w:rsidRPr="007A76BB">
              <w:t xml:space="preserve">os vakcinos dozių rekomenduojamas </w:t>
            </w:r>
            <w:r w:rsidR="007A76BB">
              <w:t xml:space="preserve">5-12 arba </w:t>
            </w:r>
            <w:r w:rsidRPr="007A76BB">
              <w:t xml:space="preserve">9-12 </w:t>
            </w:r>
            <w:r w:rsidR="007A76BB">
              <w:t xml:space="preserve">(priklausomai nuo vakcinos gamintojo) </w:t>
            </w:r>
            <w:r w:rsidR="007A76BB" w:rsidRPr="007A76BB">
              <w:t xml:space="preserve">mėnesių </w:t>
            </w:r>
            <w:r w:rsidRPr="007A76BB">
              <w:t>intervalas.</w:t>
            </w:r>
            <w:r w:rsidRPr="007A76BB">
              <w:rPr>
                <w:color w:val="000000"/>
              </w:rPr>
              <w:t xml:space="preserve"> Revakcinacija kas 3 metai.</w:t>
            </w:r>
          </w:p>
        </w:tc>
      </w:tr>
      <w:tr w:rsidR="002C5E34" w14:paraId="3B3A4617" w14:textId="77777777">
        <w:trPr>
          <w:trHeight w:val="672"/>
        </w:trPr>
        <w:tc>
          <w:tcPr>
            <w:tcW w:w="3686" w:type="dxa"/>
            <w:vMerge w:val="restart"/>
          </w:tcPr>
          <w:p w14:paraId="63D60D6D" w14:textId="6A514071" w:rsidR="00794F92" w:rsidRDefault="002C5E34" w:rsidP="00794F92">
            <w:pPr>
              <w:spacing w:after="0" w:line="240" w:lineRule="auto"/>
              <w:rPr>
                <w:b/>
              </w:rPr>
            </w:pPr>
            <w:r>
              <w:rPr>
                <w:b/>
              </w:rPr>
              <w:t xml:space="preserve">Būklė po </w:t>
            </w:r>
          </w:p>
          <w:p w14:paraId="4E9EAB44" w14:textId="25CE085C" w:rsidR="002C5E34" w:rsidRDefault="002C5E34" w:rsidP="00794F92">
            <w:pPr>
              <w:spacing w:after="0" w:line="240" w:lineRule="auto"/>
              <w:rPr>
                <w:b/>
              </w:rPr>
            </w:pPr>
            <w:r>
              <w:rPr>
                <w:b/>
              </w:rPr>
              <w:t>parenchiminių organų transplantacijos</w:t>
            </w:r>
          </w:p>
          <w:p w14:paraId="6C236B44" w14:textId="77777777" w:rsidR="00794F92" w:rsidRDefault="000649DA" w:rsidP="00794F92">
            <w:pPr>
              <w:spacing w:after="0" w:line="240" w:lineRule="auto"/>
            </w:pPr>
            <w:r>
              <w:t>Pirmą mėnesį</w:t>
            </w:r>
            <w:r w:rsidR="002C5E34">
              <w:t xml:space="preserve"> </w:t>
            </w:r>
            <w:r>
              <w:t xml:space="preserve">po </w:t>
            </w:r>
          </w:p>
          <w:p w14:paraId="4217BC3E" w14:textId="77777777" w:rsidR="00794F92" w:rsidRDefault="000649DA" w:rsidP="00794F92">
            <w:pPr>
              <w:spacing w:after="0" w:line="240" w:lineRule="auto"/>
            </w:pPr>
            <w:proofErr w:type="gramStart"/>
            <w:r>
              <w:t>transplantacijos</w:t>
            </w:r>
            <w:proofErr w:type="gramEnd"/>
            <w:r>
              <w:t xml:space="preserve"> skiepyti nerekomenduojama.</w:t>
            </w:r>
          </w:p>
          <w:p w14:paraId="684024B9" w14:textId="77777777" w:rsidR="00794F92" w:rsidRDefault="000649DA" w:rsidP="00794F92">
            <w:pPr>
              <w:spacing w:after="0" w:line="240" w:lineRule="auto"/>
            </w:pPr>
            <w:r>
              <w:t xml:space="preserve"> Praėjus </w:t>
            </w:r>
            <w:r w:rsidRPr="00F03254">
              <w:t>≥ 1</w:t>
            </w:r>
            <w:r>
              <w:t xml:space="preserve"> mėnesiui, </w:t>
            </w:r>
          </w:p>
          <w:p w14:paraId="15456735" w14:textId="77777777" w:rsidR="00794F92" w:rsidRDefault="000649DA" w:rsidP="00794F92">
            <w:pPr>
              <w:spacing w:after="0" w:line="240" w:lineRule="auto"/>
            </w:pPr>
            <w:r>
              <w:t xml:space="preserve">artėjant gripo sezonui </w:t>
            </w:r>
          </w:p>
          <w:p w14:paraId="4D5535EA" w14:textId="77777777" w:rsidR="00794F92" w:rsidRDefault="000649DA" w:rsidP="00794F92">
            <w:pPr>
              <w:spacing w:after="0" w:line="240" w:lineRule="auto"/>
            </w:pPr>
            <w:r>
              <w:t>ar gripo sezono metu</w:t>
            </w:r>
          </w:p>
          <w:p w14:paraId="46489A38" w14:textId="77777777" w:rsidR="00794F92" w:rsidRDefault="00794F92" w:rsidP="00794F92">
            <w:pPr>
              <w:spacing w:after="0" w:line="240" w:lineRule="auto"/>
            </w:pPr>
            <w:r>
              <w:t xml:space="preserve"> galima </w:t>
            </w:r>
            <w:r w:rsidR="000649DA">
              <w:t>skiepyti</w:t>
            </w:r>
            <w:r w:rsidR="002C5E34">
              <w:t xml:space="preserve"> </w:t>
            </w:r>
            <w:r>
              <w:t>sezonine</w:t>
            </w:r>
          </w:p>
          <w:p w14:paraId="7788CB36" w14:textId="77777777" w:rsidR="00794F92" w:rsidRDefault="00794F92" w:rsidP="00794F92">
            <w:pPr>
              <w:spacing w:after="0" w:line="240" w:lineRule="auto"/>
            </w:pPr>
            <w:r>
              <w:t xml:space="preserve"> </w:t>
            </w:r>
            <w:proofErr w:type="gramStart"/>
            <w:r>
              <w:t>gripo</w:t>
            </w:r>
            <w:proofErr w:type="gramEnd"/>
            <w:r>
              <w:t xml:space="preserve"> vakcina</w:t>
            </w:r>
            <w:r w:rsidR="000649DA">
              <w:t>. K</w:t>
            </w:r>
            <w:r w:rsidR="002C5E34">
              <w:t>ito</w:t>
            </w:r>
            <w:r>
              <w:t>mi</w:t>
            </w:r>
            <w:r w:rsidR="002C5E34">
              <w:t>s rekomenduojamo</w:t>
            </w:r>
            <w:r>
              <w:t>mi</w:t>
            </w:r>
            <w:r w:rsidR="002C5E34">
              <w:t xml:space="preserve">s </w:t>
            </w:r>
          </w:p>
          <w:p w14:paraId="63DD43DA" w14:textId="77777777" w:rsidR="00794F92" w:rsidRDefault="002C5E34" w:rsidP="00794F92">
            <w:pPr>
              <w:spacing w:after="0" w:line="240" w:lineRule="auto"/>
            </w:pPr>
            <w:r>
              <w:t>va</w:t>
            </w:r>
            <w:r w:rsidR="00B86911">
              <w:t>kcino</w:t>
            </w:r>
            <w:r w:rsidR="00794F92">
              <w:t>mi</w:t>
            </w:r>
            <w:r w:rsidR="00B86911">
              <w:t xml:space="preserve">s turėtų būti </w:t>
            </w:r>
          </w:p>
          <w:p w14:paraId="1F95A681" w14:textId="77777777" w:rsidR="00794F92" w:rsidRDefault="00794F92" w:rsidP="00794F92">
            <w:pPr>
              <w:spacing w:after="0" w:line="240" w:lineRule="auto"/>
            </w:pPr>
            <w:r>
              <w:t>skiepijama</w:t>
            </w:r>
            <w:r w:rsidR="00B86911">
              <w:t xml:space="preserve"> pra</w:t>
            </w:r>
            <w:r w:rsidR="00B86911">
              <w:rPr>
                <w:lang w:val="lt-LT"/>
              </w:rPr>
              <w:t>ėjus</w:t>
            </w:r>
            <w:r w:rsidR="00B86911">
              <w:t xml:space="preserve"> </w:t>
            </w:r>
          </w:p>
          <w:p w14:paraId="5AE88308" w14:textId="77777777" w:rsidR="00794F92" w:rsidRDefault="00B86911" w:rsidP="00794F92">
            <w:pPr>
              <w:spacing w:after="0" w:line="240" w:lineRule="auto"/>
            </w:pPr>
            <w:r>
              <w:t>6 mėnesiams</w:t>
            </w:r>
            <w:r w:rsidR="002C5E34">
              <w:t xml:space="preserve"> po </w:t>
            </w:r>
          </w:p>
          <w:p w14:paraId="4E42C62D" w14:textId="77777777" w:rsidR="00794F92" w:rsidRDefault="002C5E34" w:rsidP="00794F92">
            <w:pPr>
              <w:spacing w:after="0" w:line="240" w:lineRule="auto"/>
            </w:pPr>
            <w:proofErr w:type="gramStart"/>
            <w:r>
              <w:t>transplantacijos</w:t>
            </w:r>
            <w:proofErr w:type="gramEnd"/>
            <w:r>
              <w:t xml:space="preserve">. Jeigu </w:t>
            </w:r>
          </w:p>
          <w:p w14:paraId="5177BB74" w14:textId="77777777" w:rsidR="00794F92" w:rsidRDefault="002C5E34" w:rsidP="00794F92">
            <w:pPr>
              <w:spacing w:after="0" w:line="240" w:lineRule="auto"/>
            </w:pPr>
            <w:r>
              <w:t xml:space="preserve">nebuvo </w:t>
            </w:r>
            <w:r w:rsidR="00B86911">
              <w:t xml:space="preserve">galimybės </w:t>
            </w:r>
          </w:p>
          <w:p w14:paraId="565F0A0F" w14:textId="77777777" w:rsidR="00794F92" w:rsidRDefault="00B86911" w:rsidP="00794F92">
            <w:pPr>
              <w:spacing w:after="0" w:line="240" w:lineRule="auto"/>
            </w:pPr>
            <w:r>
              <w:t xml:space="preserve">paskiepyti praėjus </w:t>
            </w:r>
          </w:p>
          <w:p w14:paraId="1CF1E714" w14:textId="77777777" w:rsidR="00794F92" w:rsidRDefault="00B86911" w:rsidP="00794F92">
            <w:pPr>
              <w:spacing w:after="0" w:line="240" w:lineRule="auto"/>
            </w:pPr>
            <w:r>
              <w:t xml:space="preserve">6 mėnesiams </w:t>
            </w:r>
            <w:r w:rsidR="002C5E34">
              <w:t xml:space="preserve">po </w:t>
            </w:r>
          </w:p>
          <w:p w14:paraId="6E101BB6" w14:textId="77777777" w:rsidR="00794F92" w:rsidRDefault="002C5E34" w:rsidP="00794F92">
            <w:pPr>
              <w:spacing w:after="0" w:line="240" w:lineRule="auto"/>
            </w:pPr>
            <w:r>
              <w:t xml:space="preserve">transplantacijos, galima </w:t>
            </w:r>
          </w:p>
          <w:p w14:paraId="381D1E27" w14:textId="7B0407D4" w:rsidR="002C5E34" w:rsidRDefault="002C5E34" w:rsidP="00794F92">
            <w:pPr>
              <w:spacing w:after="0" w:line="240" w:lineRule="auto"/>
            </w:pPr>
            <w:proofErr w:type="gramStart"/>
            <w:r>
              <w:t>tai</w:t>
            </w:r>
            <w:proofErr w:type="gramEnd"/>
            <w:r>
              <w:t xml:space="preserve"> atlikti ir vėliau.</w:t>
            </w:r>
          </w:p>
          <w:p w14:paraId="64AD53D0" w14:textId="77777777" w:rsidR="00794F92" w:rsidRDefault="002C5E34" w:rsidP="00794F92">
            <w:pPr>
              <w:spacing w:after="0" w:line="240" w:lineRule="auto"/>
            </w:pPr>
            <w:r>
              <w:t xml:space="preserve">Kontraindikuotinos </w:t>
            </w:r>
          </w:p>
          <w:p w14:paraId="75209B76" w14:textId="77777777" w:rsidR="00794F92" w:rsidRDefault="002C5E34" w:rsidP="00794F92">
            <w:pPr>
              <w:spacing w:after="0" w:line="240" w:lineRule="auto"/>
            </w:pPr>
            <w:r>
              <w:t xml:space="preserve">gyvos vakcinos: </w:t>
            </w:r>
          </w:p>
          <w:p w14:paraId="318E0668" w14:textId="77777777" w:rsidR="00794F92" w:rsidRDefault="002C5E34" w:rsidP="00794F92">
            <w:pPr>
              <w:spacing w:after="0" w:line="240" w:lineRule="auto"/>
            </w:pPr>
            <w:r>
              <w:t xml:space="preserve">epideminio parotito, </w:t>
            </w:r>
          </w:p>
          <w:p w14:paraId="6998F1CB" w14:textId="77777777" w:rsidR="00794F92" w:rsidRDefault="002C5E34" w:rsidP="00794F92">
            <w:pPr>
              <w:spacing w:after="0" w:line="240" w:lineRule="auto"/>
            </w:pPr>
            <w:r>
              <w:t xml:space="preserve">raudonukės, tymų, </w:t>
            </w:r>
          </w:p>
          <w:p w14:paraId="0C996270" w14:textId="77777777" w:rsidR="00794F92" w:rsidRDefault="002C5E34" w:rsidP="00794F92">
            <w:pPr>
              <w:spacing w:after="0" w:line="240" w:lineRule="auto"/>
            </w:pPr>
            <w:r>
              <w:lastRenderedPageBreak/>
              <w:t>vėjaraupių,</w:t>
            </w:r>
            <w:r w:rsidRPr="002C5E34">
              <w:rPr>
                <w:i/>
              </w:rPr>
              <w:t xml:space="preserve"> Herpes zoster</w:t>
            </w:r>
            <w:r>
              <w:t>,</w:t>
            </w:r>
          </w:p>
          <w:p w14:paraId="1515D9A4" w14:textId="77777777" w:rsidR="00794F92" w:rsidRDefault="002C5E34" w:rsidP="00794F92">
            <w:pPr>
              <w:spacing w:after="0" w:line="240" w:lineRule="auto"/>
            </w:pPr>
            <w:r>
              <w:t xml:space="preserve"> rotaviruso, choleros, </w:t>
            </w:r>
          </w:p>
          <w:p w14:paraId="16019C73" w14:textId="77777777" w:rsidR="00794F92" w:rsidRDefault="002C5E34" w:rsidP="00794F92">
            <w:pPr>
              <w:spacing w:after="0" w:line="240" w:lineRule="auto"/>
            </w:pPr>
            <w:r>
              <w:t xml:space="preserve">intranazalinė gripo </w:t>
            </w:r>
          </w:p>
          <w:p w14:paraId="45FC05F4" w14:textId="77777777" w:rsidR="00794F92" w:rsidRDefault="002C5E34" w:rsidP="00794F92">
            <w:pPr>
              <w:spacing w:after="0" w:line="240" w:lineRule="auto"/>
            </w:pPr>
            <w:r>
              <w:t>ir geltonojo drugio</w:t>
            </w:r>
          </w:p>
          <w:p w14:paraId="501A9ED3" w14:textId="707D4C30" w:rsidR="002C5E34" w:rsidRDefault="002C5E34" w:rsidP="00794F92">
            <w:pPr>
              <w:spacing w:after="0" w:line="240" w:lineRule="auto"/>
            </w:pPr>
            <w:r>
              <w:t xml:space="preserve"> </w:t>
            </w:r>
            <w:proofErr w:type="gramStart"/>
            <w:r>
              <w:t>vakcinos</w:t>
            </w:r>
            <w:proofErr w:type="gramEnd"/>
            <w:r>
              <w:t>.</w:t>
            </w:r>
          </w:p>
        </w:tc>
        <w:tc>
          <w:tcPr>
            <w:tcW w:w="3402" w:type="dxa"/>
          </w:tcPr>
          <w:p w14:paraId="284BEAA2" w14:textId="1B014320" w:rsidR="002C5E34" w:rsidRDefault="002C5E34" w:rsidP="006724D8">
            <w:pPr>
              <w:spacing w:after="0" w:line="240" w:lineRule="auto"/>
              <w:jc w:val="both"/>
            </w:pPr>
            <w:r>
              <w:lastRenderedPageBreak/>
              <w:t>Sezoninė gripo vakcina</w:t>
            </w:r>
          </w:p>
        </w:tc>
        <w:tc>
          <w:tcPr>
            <w:tcW w:w="4111" w:type="dxa"/>
          </w:tcPr>
          <w:p w14:paraId="03750480" w14:textId="08F997BB" w:rsidR="002C5E34" w:rsidRDefault="002C5E34" w:rsidP="006724D8">
            <w:pPr>
              <w:spacing w:after="0" w:line="240" w:lineRule="auto"/>
              <w:jc w:val="both"/>
            </w:pPr>
            <w:r w:rsidRPr="00F03254">
              <w:t>1 dozė ≥ 1</w:t>
            </w:r>
            <w:r w:rsidR="008A3F37">
              <w:t xml:space="preserve"> mėnesį</w:t>
            </w:r>
            <w:r>
              <w:t xml:space="preserve"> po transplantacijos, gripo sezono metu.</w:t>
            </w:r>
          </w:p>
        </w:tc>
      </w:tr>
      <w:tr w:rsidR="002C5E34" w14:paraId="2299BB93" w14:textId="77777777">
        <w:trPr>
          <w:trHeight w:val="671"/>
        </w:trPr>
        <w:tc>
          <w:tcPr>
            <w:tcW w:w="3686" w:type="dxa"/>
            <w:vMerge/>
          </w:tcPr>
          <w:p w14:paraId="459FC4E9" w14:textId="77777777" w:rsidR="002C5E34" w:rsidRDefault="002C5E34">
            <w:pPr>
              <w:spacing w:after="0" w:line="240" w:lineRule="auto"/>
              <w:rPr>
                <w:b/>
              </w:rPr>
            </w:pPr>
          </w:p>
        </w:tc>
        <w:tc>
          <w:tcPr>
            <w:tcW w:w="3402" w:type="dxa"/>
          </w:tcPr>
          <w:p w14:paraId="551EE841" w14:textId="77777777" w:rsidR="00F542C1" w:rsidRDefault="002C5E34" w:rsidP="006724D8">
            <w:pPr>
              <w:spacing w:after="0" w:line="240" w:lineRule="auto"/>
              <w:jc w:val="both"/>
            </w:pPr>
            <w:r>
              <w:t xml:space="preserve">Pneumokokinė </w:t>
            </w:r>
          </w:p>
          <w:p w14:paraId="1D51EF58" w14:textId="1DC0E1DA" w:rsidR="002C5E34" w:rsidRDefault="002C5E34" w:rsidP="006724D8">
            <w:pPr>
              <w:spacing w:after="0" w:line="240" w:lineRule="auto"/>
              <w:jc w:val="both"/>
            </w:pPr>
            <w:r>
              <w:t>vakcina</w:t>
            </w:r>
          </w:p>
        </w:tc>
        <w:tc>
          <w:tcPr>
            <w:tcW w:w="4111" w:type="dxa"/>
          </w:tcPr>
          <w:p w14:paraId="2A987CD6" w14:textId="77777777" w:rsidR="002712AC" w:rsidRPr="002712AC" w:rsidRDefault="002712AC" w:rsidP="002712AC">
            <w:pPr>
              <w:spacing w:after="0" w:line="240" w:lineRule="auto"/>
              <w:jc w:val="both"/>
              <w:rPr>
                <w:lang w:val="lt-LT"/>
              </w:rPr>
            </w:pPr>
            <w:r w:rsidRPr="002712AC">
              <w:rPr>
                <w:lang w:val="lt-LT"/>
              </w:rPr>
              <w:t>Asmenys, kurie anksčiau nebuvo skiepyti pneumokokine vakcina (PKV13 ar PPSV23): 1 dozė PKV13.</w:t>
            </w:r>
          </w:p>
          <w:p w14:paraId="6B57CE7F" w14:textId="36F9DAE2" w:rsidR="002C5E34" w:rsidRDefault="002712AC" w:rsidP="002712AC">
            <w:pPr>
              <w:spacing w:after="0" w:line="240" w:lineRule="auto"/>
              <w:jc w:val="both"/>
            </w:pPr>
            <w:r w:rsidRPr="002712AC">
              <w:rPr>
                <w:lang w:val="lt-LT"/>
              </w:rPr>
              <w:t>Asmenys, kurie anksčiau buvo skiepyti PPSV23, bet nebuvo skiepyti PKV13: papildomai turėtų būti paskiepyti PKV13 praėjus mažiausiai 1 metams po PPSV23.</w:t>
            </w:r>
          </w:p>
        </w:tc>
      </w:tr>
      <w:tr w:rsidR="002C5E34" w14:paraId="22162164" w14:textId="77777777">
        <w:trPr>
          <w:trHeight w:val="298"/>
        </w:trPr>
        <w:tc>
          <w:tcPr>
            <w:tcW w:w="3686" w:type="dxa"/>
            <w:vMerge/>
          </w:tcPr>
          <w:p w14:paraId="7EBDBD5B" w14:textId="77777777" w:rsidR="002C5E34" w:rsidRDefault="002C5E34" w:rsidP="006724D8">
            <w:pPr>
              <w:spacing w:after="0" w:line="240" w:lineRule="auto"/>
              <w:jc w:val="both"/>
              <w:rPr>
                <w:b/>
              </w:rPr>
            </w:pPr>
          </w:p>
        </w:tc>
        <w:tc>
          <w:tcPr>
            <w:tcW w:w="3402" w:type="dxa"/>
          </w:tcPr>
          <w:p w14:paraId="028C9743" w14:textId="14BD728B" w:rsidR="002C5E34" w:rsidRDefault="00114204" w:rsidP="006724D8">
            <w:pPr>
              <w:spacing w:after="0" w:line="240" w:lineRule="auto"/>
              <w:jc w:val="both"/>
            </w:pPr>
            <w:r>
              <w:t>VHB vakcina</w:t>
            </w:r>
          </w:p>
        </w:tc>
        <w:tc>
          <w:tcPr>
            <w:tcW w:w="4111" w:type="dxa"/>
          </w:tcPr>
          <w:p w14:paraId="450D161D" w14:textId="417E1A8F" w:rsidR="002C5E34" w:rsidRDefault="00114204" w:rsidP="008A3F37">
            <w:pPr>
              <w:spacing w:after="0" w:line="240" w:lineRule="auto"/>
            </w:pPr>
            <w:r>
              <w:t>Jei asmenys nebuvo paskiepyti iki transplantacijos</w:t>
            </w:r>
            <w:r w:rsidR="008A3F37">
              <w:t>,</w:t>
            </w:r>
            <w:r>
              <w:t xml:space="preserve"> HBsAg, anti-HBc ir anti-HBs neigiamiems asmenims 3 dozių po 20 µg kursas pagal schemą: 0, 1 ir 6 mėn</w:t>
            </w:r>
            <w:r w:rsidR="0093459A">
              <w:t>esiai</w:t>
            </w:r>
            <w:r>
              <w:t>. Jeigu</w:t>
            </w:r>
            <w:r w:rsidR="008A3F37">
              <w:t>,</w:t>
            </w:r>
            <w:r>
              <w:t xml:space="preserve"> praėjus 1-2</w:t>
            </w:r>
            <w:r w:rsidR="008A3F37">
              <w:t xml:space="preserve"> mėnesiams po paskutinės </w:t>
            </w:r>
            <w:r>
              <w:t>skiepijimo</w:t>
            </w:r>
            <w:r w:rsidR="008A3F37">
              <w:t xml:space="preserve"> dozes,</w:t>
            </w:r>
            <w:r>
              <w:t xml:space="preserve"> aptinkama anti-HBs koncentracija &lt; 10 mTV/ml, tęsti skiepijimą ta pačia schema iki 3 dozių po 20 µg.</w:t>
            </w:r>
          </w:p>
        </w:tc>
      </w:tr>
      <w:tr w:rsidR="002C5E34" w14:paraId="70402B45" w14:textId="77777777">
        <w:trPr>
          <w:trHeight w:val="393"/>
        </w:trPr>
        <w:tc>
          <w:tcPr>
            <w:tcW w:w="3686" w:type="dxa"/>
            <w:vMerge/>
          </w:tcPr>
          <w:p w14:paraId="460BBE69" w14:textId="77777777" w:rsidR="002C5E34" w:rsidRDefault="002C5E34" w:rsidP="006724D8">
            <w:pPr>
              <w:spacing w:after="0" w:line="240" w:lineRule="auto"/>
              <w:jc w:val="both"/>
              <w:rPr>
                <w:b/>
              </w:rPr>
            </w:pPr>
          </w:p>
        </w:tc>
        <w:tc>
          <w:tcPr>
            <w:tcW w:w="3402" w:type="dxa"/>
          </w:tcPr>
          <w:p w14:paraId="4B94AE1E" w14:textId="3A1A4D69" w:rsidR="002C5E34" w:rsidRDefault="002C5E34" w:rsidP="006724D8">
            <w:pPr>
              <w:spacing w:after="0" w:line="240" w:lineRule="auto"/>
              <w:jc w:val="both"/>
            </w:pPr>
            <w:r>
              <w:t>Td arba Tdap vakcina</w:t>
            </w:r>
          </w:p>
        </w:tc>
        <w:tc>
          <w:tcPr>
            <w:tcW w:w="4111" w:type="dxa"/>
          </w:tcPr>
          <w:p w14:paraId="6D774CBD" w14:textId="77777777" w:rsidR="002C5E34" w:rsidRDefault="00855C99" w:rsidP="00855C99">
            <w:pPr>
              <w:spacing w:after="0" w:line="240" w:lineRule="auto"/>
              <w:rPr>
                <w:lang w:val="lt-LT"/>
              </w:rPr>
            </w:pPr>
            <w:r>
              <w:t xml:space="preserve">1 dozė kas 10 metų </w:t>
            </w:r>
            <w:r w:rsidRPr="00855C99">
              <w:t xml:space="preserve">(Td vakcina), </w:t>
            </w:r>
            <w:r w:rsidRPr="00855C99">
              <w:rPr>
                <w:lang w:val="lt-LT"/>
              </w:rPr>
              <w:t>vieną revakcinaciją Td vakcina pakeisti revakcinacija nuo kokliušo, difterijos ir stabligės (Tdap vakcina), esant galimybei.</w:t>
            </w:r>
          </w:p>
          <w:p w14:paraId="14C7F10A" w14:textId="77777777" w:rsidR="00DD4935" w:rsidRDefault="00DD4935" w:rsidP="00855C99">
            <w:pPr>
              <w:spacing w:after="0" w:line="240" w:lineRule="auto"/>
              <w:rPr>
                <w:lang w:val="lt-LT"/>
              </w:rPr>
            </w:pPr>
          </w:p>
          <w:p w14:paraId="5576C235" w14:textId="77777777" w:rsidR="00DD4935" w:rsidRDefault="00DD4935" w:rsidP="00855C99">
            <w:pPr>
              <w:spacing w:after="0" w:line="240" w:lineRule="auto"/>
              <w:rPr>
                <w:lang w:val="lt-LT"/>
              </w:rPr>
            </w:pPr>
          </w:p>
          <w:p w14:paraId="21E884ED" w14:textId="1D105A36" w:rsidR="00DD4935" w:rsidRDefault="00DD4935" w:rsidP="00855C99">
            <w:pPr>
              <w:spacing w:after="0" w:line="240" w:lineRule="auto"/>
            </w:pPr>
          </w:p>
        </w:tc>
      </w:tr>
      <w:tr w:rsidR="002C5E34" w14:paraId="65F07727" w14:textId="77777777">
        <w:trPr>
          <w:trHeight w:val="393"/>
        </w:trPr>
        <w:tc>
          <w:tcPr>
            <w:tcW w:w="3686" w:type="dxa"/>
            <w:vMerge/>
          </w:tcPr>
          <w:p w14:paraId="736E0976" w14:textId="77777777" w:rsidR="002C5E34" w:rsidRDefault="002C5E34" w:rsidP="006724D8">
            <w:pPr>
              <w:spacing w:after="0" w:line="240" w:lineRule="auto"/>
              <w:jc w:val="both"/>
              <w:rPr>
                <w:b/>
              </w:rPr>
            </w:pPr>
          </w:p>
        </w:tc>
        <w:tc>
          <w:tcPr>
            <w:tcW w:w="3402" w:type="dxa"/>
          </w:tcPr>
          <w:p w14:paraId="35F4F237" w14:textId="77777777" w:rsidR="00F542C1" w:rsidRDefault="002C5E34" w:rsidP="006724D8">
            <w:pPr>
              <w:spacing w:after="0" w:line="240" w:lineRule="auto"/>
              <w:jc w:val="both"/>
            </w:pPr>
            <w:r>
              <w:t xml:space="preserve">Erkinio encefalito </w:t>
            </w:r>
          </w:p>
          <w:p w14:paraId="5F6DED06" w14:textId="10FD0113" w:rsidR="002C5E34" w:rsidRDefault="002C5E34" w:rsidP="006724D8">
            <w:pPr>
              <w:spacing w:after="0" w:line="240" w:lineRule="auto"/>
              <w:jc w:val="both"/>
            </w:pPr>
            <w:r>
              <w:t>vakcina</w:t>
            </w:r>
          </w:p>
        </w:tc>
        <w:tc>
          <w:tcPr>
            <w:tcW w:w="4111" w:type="dxa"/>
          </w:tcPr>
          <w:p w14:paraId="172AF472" w14:textId="39D455A6" w:rsidR="002C5E34" w:rsidRPr="00DF205C" w:rsidRDefault="00497211" w:rsidP="00497211">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bl>
    <w:p w14:paraId="68C8F897" w14:textId="77777777" w:rsidR="008C3617" w:rsidRDefault="008C3617" w:rsidP="006724D8">
      <w:pPr>
        <w:jc w:val="both"/>
      </w:pPr>
    </w:p>
    <w:p w14:paraId="00F5A2E2" w14:textId="77777777" w:rsidR="008C3617" w:rsidRPr="00A52D8F" w:rsidRDefault="00D02CE4">
      <w:pPr>
        <w:spacing w:after="120"/>
        <w:rPr>
          <w:b/>
        </w:rPr>
      </w:pPr>
      <w:r w:rsidRPr="00A52D8F">
        <w:rPr>
          <w:b/>
        </w:rPr>
        <w:t>Paaiškinimai:</w:t>
      </w:r>
    </w:p>
    <w:p w14:paraId="6A766C66" w14:textId="743256FE" w:rsidR="008C3617" w:rsidRPr="00F40EB0" w:rsidRDefault="00D02CE4">
      <w:pPr>
        <w:spacing w:after="120"/>
      </w:pPr>
      <w:r w:rsidRPr="00F40EB0">
        <w:t>PCV13 – pneumokokinė polisacharidinė konjuguota 13-valentė vakcina</w:t>
      </w:r>
    </w:p>
    <w:p w14:paraId="5C297D04" w14:textId="4A40403D" w:rsidR="008C3617" w:rsidRPr="00F40EB0" w:rsidRDefault="00D02CE4">
      <w:pPr>
        <w:spacing w:after="120"/>
      </w:pPr>
      <w:r w:rsidRPr="00F40EB0">
        <w:t>PPSV23 – pneumokokinė</w:t>
      </w:r>
      <w:r w:rsidR="00B505C6" w:rsidRPr="00F40EB0">
        <w:t xml:space="preserve"> </w:t>
      </w:r>
      <w:r w:rsidRPr="00F40EB0">
        <w:t>polisacharidinė 23-valentė vakcina</w:t>
      </w:r>
    </w:p>
    <w:p w14:paraId="3EADE057" w14:textId="3308854F" w:rsidR="008C3617" w:rsidRPr="00F40EB0" w:rsidRDefault="00D02CE4">
      <w:pPr>
        <w:spacing w:after="120"/>
      </w:pPr>
      <w:r w:rsidRPr="00F40EB0">
        <w:t>VHB – virusini</w:t>
      </w:r>
      <w:r w:rsidR="000F38DF" w:rsidRPr="00F40EB0">
        <w:t>o</w:t>
      </w:r>
      <w:r w:rsidRPr="00F40EB0">
        <w:t xml:space="preserve"> hepatit</w:t>
      </w:r>
      <w:r w:rsidR="000F38DF" w:rsidRPr="00F40EB0">
        <w:t>o</w:t>
      </w:r>
      <w:r w:rsidRPr="00F40EB0">
        <w:t xml:space="preserve"> B </w:t>
      </w:r>
      <w:r w:rsidR="000F38DF" w:rsidRPr="00F40EB0">
        <w:t>vakcina</w:t>
      </w:r>
    </w:p>
    <w:p w14:paraId="5CD0789B" w14:textId="77777777" w:rsidR="00FA12E8" w:rsidRPr="00F40EB0" w:rsidRDefault="00FA12E8" w:rsidP="00FA12E8">
      <w:pPr>
        <w:spacing w:after="120"/>
      </w:pPr>
      <w:r w:rsidRPr="00F40EB0">
        <w:t>HBsAg – hepatito B viruso paviršiaus antigenas</w:t>
      </w:r>
    </w:p>
    <w:p w14:paraId="44AFCD0B" w14:textId="77777777" w:rsidR="00FA12E8" w:rsidRPr="00F40EB0" w:rsidRDefault="00FA12E8" w:rsidP="00FA12E8">
      <w:pPr>
        <w:spacing w:after="120"/>
      </w:pPr>
      <w:r w:rsidRPr="00F40EB0">
        <w:t>Anti-HBc – antikūnai prieš hepatito B viruso šerdinį antigeną</w:t>
      </w:r>
    </w:p>
    <w:p w14:paraId="2C51E525" w14:textId="2759E6B4" w:rsidR="00FA12E8" w:rsidRPr="00F40EB0" w:rsidRDefault="00FA12E8" w:rsidP="00FA12E8">
      <w:pPr>
        <w:spacing w:after="120"/>
      </w:pPr>
      <w:r w:rsidRPr="00F40EB0">
        <w:t>Anti-HBs – antikūnai prieš hepatito B viruso paviršiaus antigeną</w:t>
      </w:r>
    </w:p>
    <w:p w14:paraId="2F8433F0" w14:textId="68EEF759" w:rsidR="008C3617" w:rsidRPr="00F40EB0" w:rsidRDefault="00D02CE4">
      <w:pPr>
        <w:spacing w:after="120"/>
      </w:pPr>
      <w:r w:rsidRPr="00F40EB0">
        <w:t>Td – difterijos, stabligės toksoidų vakcina</w:t>
      </w:r>
    </w:p>
    <w:p w14:paraId="7DC938DA" w14:textId="3293EE65" w:rsidR="008C3617" w:rsidRPr="00F40EB0" w:rsidRDefault="00D02CE4">
      <w:pPr>
        <w:spacing w:after="120"/>
      </w:pPr>
      <w:r w:rsidRPr="00F40EB0">
        <w:t xml:space="preserve">Tdap - difterijos, stabligės toksoidų ir </w:t>
      </w:r>
      <w:r w:rsidR="00B505C6" w:rsidRPr="00F40EB0">
        <w:t xml:space="preserve">neląstelinio </w:t>
      </w:r>
      <w:r w:rsidRPr="00F40EB0">
        <w:t>kokliušo vakcina</w:t>
      </w:r>
    </w:p>
    <w:p w14:paraId="2B970C04" w14:textId="77777777" w:rsidR="008C3617" w:rsidRDefault="008C3617"/>
    <w:p w14:paraId="5CB4C301" w14:textId="77777777" w:rsidR="008C3617" w:rsidRPr="00A52D8F" w:rsidRDefault="00D02CE4">
      <w:pPr>
        <w:jc w:val="both"/>
        <w:rPr>
          <w:b/>
        </w:rPr>
      </w:pPr>
      <w:r w:rsidRPr="00A52D8F">
        <w:rPr>
          <w:b/>
        </w:rPr>
        <w:t>Literatūros šaltiniai:</w:t>
      </w:r>
    </w:p>
    <w:p w14:paraId="1DA9D721" w14:textId="55E0AC2D" w:rsidR="008C3617" w:rsidRDefault="00D02CE4">
      <w:pPr>
        <w:pStyle w:val="ListParagraph1"/>
        <w:numPr>
          <w:ilvl w:val="0"/>
          <w:numId w:val="2"/>
        </w:numPr>
        <w:jc w:val="both"/>
      </w:pPr>
      <w:r>
        <w:t>Rubin et al. 2013 IDSA Clinical Practice Guideline for Vaccination of the Immunocompromised Host. Clinical infectious Diseases</w:t>
      </w:r>
      <w:r w:rsidR="00B505C6">
        <w:t xml:space="preserve">. </w:t>
      </w:r>
      <w:r>
        <w:t>2014</w:t>
      </w:r>
      <w:r w:rsidR="00B505C6">
        <w:t>,</w:t>
      </w:r>
      <w:r>
        <w:t xml:space="preserve"> 58 (3)</w:t>
      </w:r>
      <w:r w:rsidR="00B505C6">
        <w:t xml:space="preserve">: </w:t>
      </w:r>
      <w:r>
        <w:t>309-318.</w:t>
      </w:r>
    </w:p>
    <w:p w14:paraId="756EFB73" w14:textId="77777777" w:rsidR="00730757" w:rsidRDefault="00730757" w:rsidP="00730757">
      <w:pPr>
        <w:pStyle w:val="ListParagraph1"/>
        <w:numPr>
          <w:ilvl w:val="0"/>
          <w:numId w:val="2"/>
        </w:numPr>
        <w:jc w:val="both"/>
      </w:pPr>
      <w:r>
        <w:t>KDIGO Clinical Practice Guideline for the Care of Kidney Transplant. American Journal of Transplantation 2009; 9 (Suppl 3): S1-S157.</w:t>
      </w:r>
    </w:p>
    <w:p w14:paraId="1D879515" w14:textId="3DB16D27" w:rsidR="00730757" w:rsidRDefault="00730757" w:rsidP="00730757">
      <w:pPr>
        <w:pStyle w:val="ListParagraph1"/>
        <w:numPr>
          <w:ilvl w:val="0"/>
          <w:numId w:val="2"/>
        </w:numPr>
        <w:jc w:val="both"/>
      </w:pPr>
      <w:r w:rsidRPr="006D09FF">
        <w:t xml:space="preserve">Kotton, C. N. </w:t>
      </w:r>
      <w:r>
        <w:t xml:space="preserve">Immunization after kidney transplantation—what is necessary and what is safe? </w:t>
      </w:r>
      <w:r w:rsidRPr="002831DA">
        <w:rPr>
          <w:iCs/>
        </w:rPr>
        <w:t>Nat Rev Nephrol</w:t>
      </w:r>
      <w:r>
        <w:t xml:space="preserve"> 2014, </w:t>
      </w:r>
      <w:r w:rsidRPr="006D09FF">
        <w:t>10</w:t>
      </w:r>
      <w:r>
        <w:t>:</w:t>
      </w:r>
      <w:r w:rsidRPr="006D09FF">
        <w:t xml:space="preserve"> 555–562</w:t>
      </w:r>
      <w:r>
        <w:t>.</w:t>
      </w:r>
    </w:p>
    <w:p w14:paraId="73B0BC5E" w14:textId="68EB8E61" w:rsidR="004A5CFD" w:rsidRPr="0004367C" w:rsidRDefault="004A5CFD" w:rsidP="00730757">
      <w:pPr>
        <w:pStyle w:val="ListParagraph1"/>
        <w:numPr>
          <w:ilvl w:val="0"/>
          <w:numId w:val="2"/>
        </w:numPr>
        <w:jc w:val="both"/>
        <w:rPr>
          <w:color w:val="000000" w:themeColor="text1"/>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w:t>
      </w:r>
      <w:r w:rsidR="007D46E8" w:rsidRPr="0004367C">
        <w:rPr>
          <w:color w:val="000000" w:themeColor="text1"/>
        </w:rPr>
        <w:t>toimmunity</w:t>
      </w:r>
      <w:r w:rsidR="0015393E" w:rsidRPr="0004367C">
        <w:rPr>
          <w:color w:val="000000" w:themeColor="text1"/>
        </w:rPr>
        <w:t xml:space="preserve">  80</w:t>
      </w:r>
      <w:proofErr w:type="gramEnd"/>
      <w:r w:rsidR="0015393E" w:rsidRPr="0004367C">
        <w:rPr>
          <w:color w:val="000000" w:themeColor="text1"/>
        </w:rPr>
        <w:t xml:space="preserve"> (2017) 10-27.</w:t>
      </w:r>
    </w:p>
    <w:p w14:paraId="62C39B79" w14:textId="77777777" w:rsidR="008C3617" w:rsidRDefault="008C3617">
      <w:pPr>
        <w:jc w:val="both"/>
      </w:pPr>
    </w:p>
    <w:p w14:paraId="5D80BD5E" w14:textId="77777777" w:rsidR="00A858DA" w:rsidRDefault="00A858DA">
      <w:pPr>
        <w:jc w:val="both"/>
        <w:rPr>
          <w:b/>
          <w:sz w:val="24"/>
          <w:szCs w:val="24"/>
        </w:rPr>
      </w:pPr>
    </w:p>
    <w:p w14:paraId="2EEDA5CD" w14:textId="77777777" w:rsidR="00A858DA" w:rsidRDefault="00A858DA">
      <w:pPr>
        <w:jc w:val="both"/>
        <w:rPr>
          <w:b/>
          <w:sz w:val="24"/>
          <w:szCs w:val="24"/>
        </w:rPr>
      </w:pPr>
    </w:p>
    <w:p w14:paraId="0315813F" w14:textId="09640F46" w:rsidR="008C3617" w:rsidRDefault="00BB15A1">
      <w:pPr>
        <w:jc w:val="both"/>
      </w:pPr>
      <w:r>
        <w:rPr>
          <w:b/>
          <w:sz w:val="24"/>
          <w:szCs w:val="24"/>
        </w:rPr>
        <w:t>3. O</w:t>
      </w:r>
      <w:r w:rsidR="00D02CE4">
        <w:rPr>
          <w:b/>
          <w:sz w:val="24"/>
          <w:szCs w:val="24"/>
        </w:rPr>
        <w:t>nkologinėmis ligomis se</w:t>
      </w:r>
      <w:r>
        <w:rPr>
          <w:b/>
          <w:sz w:val="24"/>
          <w:szCs w:val="24"/>
        </w:rPr>
        <w:t>rgančių pacientų s</w:t>
      </w:r>
      <w:r w:rsidRPr="00BB15A1">
        <w:rPr>
          <w:b/>
          <w:sz w:val="24"/>
          <w:szCs w:val="24"/>
        </w:rPr>
        <w:t>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50DFB2EA" w14:textId="77777777">
        <w:tc>
          <w:tcPr>
            <w:tcW w:w="3544" w:type="dxa"/>
          </w:tcPr>
          <w:p w14:paraId="6B0C016F" w14:textId="77777777" w:rsidR="008C3617" w:rsidRDefault="00D02CE4" w:rsidP="00A119BB">
            <w:pPr>
              <w:spacing w:after="0" w:line="240" w:lineRule="auto"/>
              <w:jc w:val="both"/>
              <w:rPr>
                <w:b/>
              </w:rPr>
            </w:pPr>
            <w:r>
              <w:rPr>
                <w:b/>
              </w:rPr>
              <w:t>Rizikos ligos/būklės</w:t>
            </w:r>
          </w:p>
        </w:tc>
        <w:tc>
          <w:tcPr>
            <w:tcW w:w="3544" w:type="dxa"/>
          </w:tcPr>
          <w:p w14:paraId="469FFE54" w14:textId="77777777" w:rsidR="008C3617" w:rsidRDefault="00D02CE4" w:rsidP="00A119BB">
            <w:pPr>
              <w:spacing w:after="0" w:line="240" w:lineRule="auto"/>
              <w:jc w:val="both"/>
              <w:rPr>
                <w:b/>
              </w:rPr>
            </w:pPr>
            <w:r>
              <w:rPr>
                <w:b/>
              </w:rPr>
              <w:t>Rekomenduojamos vakcinos</w:t>
            </w:r>
          </w:p>
        </w:tc>
        <w:tc>
          <w:tcPr>
            <w:tcW w:w="4111" w:type="dxa"/>
          </w:tcPr>
          <w:p w14:paraId="02ECC8CB" w14:textId="77777777" w:rsidR="008C3617" w:rsidRDefault="00D02CE4" w:rsidP="00A119BB">
            <w:pPr>
              <w:spacing w:after="0" w:line="240" w:lineRule="auto"/>
              <w:jc w:val="both"/>
              <w:rPr>
                <w:b/>
              </w:rPr>
            </w:pPr>
            <w:r>
              <w:rPr>
                <w:b/>
              </w:rPr>
              <w:t>Pastabos dėl vakcinų vartojimo</w:t>
            </w:r>
          </w:p>
        </w:tc>
      </w:tr>
      <w:tr w:rsidR="008C3617" w14:paraId="7813A93C" w14:textId="77777777">
        <w:trPr>
          <w:trHeight w:val="843"/>
        </w:trPr>
        <w:tc>
          <w:tcPr>
            <w:tcW w:w="3544" w:type="dxa"/>
            <w:vMerge w:val="restart"/>
          </w:tcPr>
          <w:p w14:paraId="0BA532AD" w14:textId="1551FD86" w:rsidR="00F542C1" w:rsidRDefault="00D02CE4" w:rsidP="00F542C1">
            <w:pPr>
              <w:spacing w:after="0" w:line="240" w:lineRule="auto"/>
              <w:rPr>
                <w:b/>
              </w:rPr>
            </w:pPr>
            <w:r>
              <w:rPr>
                <w:b/>
              </w:rPr>
              <w:t xml:space="preserve">Hematologiniai ir </w:t>
            </w:r>
          </w:p>
          <w:p w14:paraId="30DFAA6E" w14:textId="5B95DF74" w:rsidR="008C3617" w:rsidRDefault="00D02CE4" w:rsidP="00F542C1">
            <w:pPr>
              <w:spacing w:after="0" w:line="240" w:lineRule="auto"/>
              <w:rPr>
                <w:b/>
              </w:rPr>
            </w:pPr>
            <w:r>
              <w:rPr>
                <w:b/>
              </w:rPr>
              <w:t>parenchiminių organų navikai</w:t>
            </w:r>
          </w:p>
          <w:p w14:paraId="1FAA3F5B" w14:textId="77777777" w:rsidR="00F542C1" w:rsidRDefault="00D02CE4" w:rsidP="004145C6">
            <w:pPr>
              <w:spacing w:after="0" w:line="240" w:lineRule="auto"/>
            </w:pPr>
            <w:r>
              <w:t>Vakcinaciją rekomenduojama</w:t>
            </w:r>
          </w:p>
          <w:p w14:paraId="6EA46066" w14:textId="77777777" w:rsidR="00F542C1" w:rsidRDefault="00D02CE4" w:rsidP="004145C6">
            <w:pPr>
              <w:spacing w:after="0" w:line="240" w:lineRule="auto"/>
            </w:pPr>
            <w:r>
              <w:lastRenderedPageBreak/>
              <w:t xml:space="preserve"> atlikti arba </w:t>
            </w:r>
            <w:r w:rsidR="00DF2C08">
              <w:t>likus ne mažiau</w:t>
            </w:r>
          </w:p>
          <w:p w14:paraId="7FACEB88" w14:textId="77777777" w:rsidR="00F542C1" w:rsidRDefault="00DF2C08" w:rsidP="004145C6">
            <w:pPr>
              <w:spacing w:after="0" w:line="240" w:lineRule="auto"/>
            </w:pPr>
            <w:r>
              <w:t xml:space="preserve"> kaip 2 savaitėms</w:t>
            </w:r>
            <w:r w:rsidR="00D02CE4">
              <w:t xml:space="preserve"> iki vėžio chemoterapijos,</w:t>
            </w:r>
            <w:r>
              <w:t xml:space="preserve"> arba praėjus </w:t>
            </w:r>
          </w:p>
          <w:p w14:paraId="28B4496C" w14:textId="77777777" w:rsidR="00F542C1" w:rsidRDefault="00DF2C08" w:rsidP="004145C6">
            <w:pPr>
              <w:spacing w:after="0" w:line="240" w:lineRule="auto"/>
            </w:pPr>
            <w:proofErr w:type="gramStart"/>
            <w:r>
              <w:t>bent</w:t>
            </w:r>
            <w:proofErr w:type="gramEnd"/>
            <w:r>
              <w:t xml:space="preserve"> 3 mėnesiams</w:t>
            </w:r>
            <w:r w:rsidR="00D02CE4">
              <w:t xml:space="preserve"> po vėžio chemoterapijos.  Jeigu buvo </w:t>
            </w:r>
          </w:p>
          <w:p w14:paraId="47F47CA3" w14:textId="77777777" w:rsidR="00F542C1" w:rsidRDefault="00D02CE4" w:rsidP="004145C6">
            <w:pPr>
              <w:spacing w:after="0" w:line="240" w:lineRule="auto"/>
            </w:pPr>
            <w:r>
              <w:t xml:space="preserve">taikyta anti-B ar anti-T ląstelių terapija monokloniniais </w:t>
            </w:r>
          </w:p>
          <w:p w14:paraId="5EF8F8FE" w14:textId="77777777" w:rsidR="00F542C1" w:rsidRDefault="00D02CE4" w:rsidP="004145C6">
            <w:pPr>
              <w:spacing w:after="0" w:line="240" w:lineRule="auto"/>
            </w:pPr>
            <w:r>
              <w:t xml:space="preserve">antikūnais arba gydymas </w:t>
            </w:r>
            <w:r w:rsidR="00F542C1">
              <w:t>f</w:t>
            </w:r>
            <w:r>
              <w:t xml:space="preserve">ludarabinu, tuomet </w:t>
            </w:r>
            <w:r w:rsidR="00F71FAA">
              <w:t>skiepyti</w:t>
            </w:r>
            <w:r>
              <w:t xml:space="preserve"> rekomenduojam</w:t>
            </w:r>
            <w:r w:rsidR="00F71FAA">
              <w:t xml:space="preserve">a </w:t>
            </w:r>
            <w:r w:rsidR="00F542C1">
              <w:t>ne anksčiau</w:t>
            </w:r>
          </w:p>
          <w:p w14:paraId="735AAA27" w14:textId="77777777" w:rsidR="00F542C1" w:rsidRDefault="00DF2C08" w:rsidP="004145C6">
            <w:pPr>
              <w:spacing w:after="0" w:line="240" w:lineRule="auto"/>
            </w:pPr>
            <w:r>
              <w:t xml:space="preserve"> kaip </w:t>
            </w:r>
            <w:r w:rsidR="00162AFC">
              <w:t>praėjus 6 mėnesiams</w:t>
            </w:r>
            <w:r w:rsidR="00D02CE4">
              <w:t xml:space="preserve"> po paskutinės </w:t>
            </w:r>
            <w:r w:rsidR="00F71FAA">
              <w:t xml:space="preserve">imunosupresinių </w:t>
            </w:r>
          </w:p>
          <w:p w14:paraId="0F9A0C44" w14:textId="783E97AB" w:rsidR="008C3617" w:rsidRDefault="00F71FAA" w:rsidP="004145C6">
            <w:pPr>
              <w:spacing w:after="0" w:line="240" w:lineRule="auto"/>
            </w:pPr>
            <w:proofErr w:type="gramStart"/>
            <w:r>
              <w:t>vaistų</w:t>
            </w:r>
            <w:proofErr w:type="gramEnd"/>
            <w:r>
              <w:t xml:space="preserve"> </w:t>
            </w:r>
            <w:r w:rsidR="00D02CE4">
              <w:t xml:space="preserve">dozės </w:t>
            </w:r>
            <w:r>
              <w:t>suvartojimo</w:t>
            </w:r>
            <w:r w:rsidR="00DF2C08">
              <w:t>.</w:t>
            </w:r>
          </w:p>
        </w:tc>
        <w:tc>
          <w:tcPr>
            <w:tcW w:w="3544" w:type="dxa"/>
          </w:tcPr>
          <w:p w14:paraId="23D53910" w14:textId="2D7CD4B5" w:rsidR="008C3617" w:rsidRDefault="00D02CE4" w:rsidP="00A119BB">
            <w:pPr>
              <w:spacing w:after="0" w:line="240" w:lineRule="auto"/>
              <w:jc w:val="both"/>
            </w:pPr>
            <w:r>
              <w:lastRenderedPageBreak/>
              <w:t>Sezoninė gripo</w:t>
            </w:r>
            <w:r w:rsidR="00F71FAA">
              <w:t xml:space="preserve"> vakcina</w:t>
            </w:r>
          </w:p>
        </w:tc>
        <w:tc>
          <w:tcPr>
            <w:tcW w:w="4111" w:type="dxa"/>
          </w:tcPr>
          <w:p w14:paraId="45FAE2AB" w14:textId="118C082B" w:rsidR="008C3617" w:rsidRDefault="00011CD5" w:rsidP="00A119BB">
            <w:pPr>
              <w:spacing w:after="0" w:line="240" w:lineRule="auto"/>
              <w:jc w:val="both"/>
            </w:pPr>
            <w:r>
              <w:t xml:space="preserve">1 dozė </w:t>
            </w:r>
            <w:r w:rsidRPr="00011CD5">
              <w:t>kasmet</w:t>
            </w:r>
            <w:r w:rsidR="00E9668D">
              <w:t xml:space="preserve"> prieš gripo sezoną</w:t>
            </w:r>
            <w:r w:rsidR="00AB6242">
              <w:t>.</w:t>
            </w:r>
          </w:p>
          <w:p w14:paraId="44D69B61" w14:textId="56A920A7" w:rsidR="008C3617" w:rsidRDefault="00E3793B" w:rsidP="00A119BB">
            <w:pPr>
              <w:spacing w:after="0" w:line="240" w:lineRule="auto"/>
              <w:jc w:val="both"/>
            </w:pPr>
            <w:r>
              <w:t>Skiepyti r</w:t>
            </w:r>
            <w:r w:rsidR="00D02CE4">
              <w:t>ekomenduojama baigus chemoterapijos kursą</w:t>
            </w:r>
            <w:r w:rsidR="00AB6242">
              <w:t>.</w:t>
            </w:r>
          </w:p>
        </w:tc>
      </w:tr>
      <w:tr w:rsidR="008C3617" w14:paraId="35500FE3" w14:textId="77777777">
        <w:trPr>
          <w:trHeight w:val="2160"/>
        </w:trPr>
        <w:tc>
          <w:tcPr>
            <w:tcW w:w="3544" w:type="dxa"/>
            <w:vMerge/>
          </w:tcPr>
          <w:p w14:paraId="25504A33" w14:textId="77777777" w:rsidR="008C3617" w:rsidRDefault="008C3617" w:rsidP="00A119BB">
            <w:pPr>
              <w:spacing w:after="0" w:line="240" w:lineRule="auto"/>
              <w:jc w:val="both"/>
            </w:pPr>
          </w:p>
        </w:tc>
        <w:tc>
          <w:tcPr>
            <w:tcW w:w="3544" w:type="dxa"/>
          </w:tcPr>
          <w:p w14:paraId="44F82A30" w14:textId="1922EE5C" w:rsidR="008C3617" w:rsidRDefault="00D02CE4" w:rsidP="00A119BB">
            <w:pPr>
              <w:spacing w:after="0" w:line="240" w:lineRule="auto"/>
              <w:jc w:val="both"/>
            </w:pPr>
            <w:r>
              <w:t>Pneumokokinė</w:t>
            </w:r>
            <w:r w:rsidR="00F71FAA">
              <w:t xml:space="preserve"> vakcina</w:t>
            </w:r>
          </w:p>
        </w:tc>
        <w:tc>
          <w:tcPr>
            <w:tcW w:w="4111" w:type="dxa"/>
          </w:tcPr>
          <w:p w14:paraId="5A2209B7" w14:textId="77777777" w:rsidR="002712AC" w:rsidRPr="002712AC" w:rsidRDefault="002712AC" w:rsidP="002712AC">
            <w:pPr>
              <w:spacing w:after="0" w:line="240" w:lineRule="auto"/>
              <w:jc w:val="both"/>
              <w:rPr>
                <w:lang w:val="lt-LT"/>
              </w:rPr>
            </w:pPr>
            <w:r w:rsidRPr="002712AC">
              <w:rPr>
                <w:lang w:val="lt-LT"/>
              </w:rPr>
              <w:t>Asmenys, kurie anksčiau nebuvo skiepyti pneumokokine vakcina (PKV13 ar PPSV23): 1 dozė PKV13.</w:t>
            </w:r>
          </w:p>
          <w:p w14:paraId="1C138E8A" w14:textId="66DB9E33" w:rsidR="008C3617" w:rsidRDefault="002712AC" w:rsidP="002712AC">
            <w:pPr>
              <w:spacing w:after="0" w:line="240" w:lineRule="auto"/>
              <w:jc w:val="both"/>
            </w:pPr>
            <w:r w:rsidRPr="002712AC">
              <w:rPr>
                <w:lang w:val="lt-LT"/>
              </w:rPr>
              <w:t>Asmenys, kurie anksčiau buvo skiepyti PPSV23, bet nebuvo skiepyti PKV13: papildomai turėtų būti paskiepyti PKV13 praėjus mažiausiai 1 metams po PPSV23.</w:t>
            </w:r>
          </w:p>
        </w:tc>
      </w:tr>
      <w:tr w:rsidR="008C3617" w14:paraId="7BAF6E2F" w14:textId="77777777">
        <w:trPr>
          <w:trHeight w:val="540"/>
        </w:trPr>
        <w:tc>
          <w:tcPr>
            <w:tcW w:w="3544" w:type="dxa"/>
            <w:vMerge/>
          </w:tcPr>
          <w:p w14:paraId="5B7E4371" w14:textId="77777777" w:rsidR="008C3617" w:rsidRDefault="008C3617" w:rsidP="00A119BB">
            <w:pPr>
              <w:spacing w:after="0" w:line="240" w:lineRule="auto"/>
              <w:jc w:val="both"/>
            </w:pPr>
          </w:p>
        </w:tc>
        <w:tc>
          <w:tcPr>
            <w:tcW w:w="3544" w:type="dxa"/>
          </w:tcPr>
          <w:p w14:paraId="6C587357" w14:textId="5FF01A04" w:rsidR="008C3617" w:rsidRDefault="00D02CE4" w:rsidP="00A119BB">
            <w:pPr>
              <w:spacing w:after="0" w:line="240" w:lineRule="auto"/>
              <w:jc w:val="both"/>
            </w:pPr>
            <w:r>
              <w:t>VHB vakcina</w:t>
            </w:r>
          </w:p>
        </w:tc>
        <w:tc>
          <w:tcPr>
            <w:tcW w:w="4111" w:type="dxa"/>
          </w:tcPr>
          <w:p w14:paraId="1CB4B6D1" w14:textId="77777777" w:rsidR="007C48A0" w:rsidRDefault="007C48A0" w:rsidP="00A52D8F">
            <w:pPr>
              <w:spacing w:after="0" w:line="240" w:lineRule="auto"/>
            </w:pPr>
            <w:r>
              <w:t>HBsAg, anti-HBc ir anti-HBs neigiamiems asmenims 3 dozių po 20 µg kursas pagal schemą: 0, 1 ir 6 mėnesiai. Jeigu, praėjus 1-2 mėnesiams po paskutinės dozės skiepijimo, aptinkama anti-HBs koncentracija &lt; 10 mTV/ml, tęsti skiepijimą ta pačia schema iki 3 dozių po 20 µg.</w:t>
            </w:r>
          </w:p>
          <w:p w14:paraId="184DCC9D" w14:textId="5BD625F3" w:rsidR="008C3617" w:rsidRDefault="00D02CE4" w:rsidP="00A52D8F">
            <w:pPr>
              <w:spacing w:after="0" w:line="240" w:lineRule="auto"/>
            </w:pPr>
            <w:r>
              <w:t xml:space="preserve">Galimos kitos </w:t>
            </w:r>
            <w:r w:rsidR="00E3793B">
              <w:t xml:space="preserve">skiepijimo </w:t>
            </w:r>
            <w:r>
              <w:t xml:space="preserve">schemos pagal </w:t>
            </w:r>
            <w:r w:rsidR="00E3793B">
              <w:t xml:space="preserve">vakcinų </w:t>
            </w:r>
            <w:r>
              <w:t>aprašus.</w:t>
            </w:r>
          </w:p>
        </w:tc>
      </w:tr>
      <w:tr w:rsidR="008C3617" w14:paraId="0B3F5109" w14:textId="77777777">
        <w:trPr>
          <w:trHeight w:val="542"/>
        </w:trPr>
        <w:tc>
          <w:tcPr>
            <w:tcW w:w="3544" w:type="dxa"/>
            <w:vMerge/>
          </w:tcPr>
          <w:p w14:paraId="14230866" w14:textId="5D846BB8" w:rsidR="008C3617" w:rsidRDefault="008C3617" w:rsidP="00A119BB">
            <w:pPr>
              <w:spacing w:after="0" w:line="240" w:lineRule="auto"/>
              <w:jc w:val="both"/>
            </w:pPr>
          </w:p>
        </w:tc>
        <w:tc>
          <w:tcPr>
            <w:tcW w:w="3544" w:type="dxa"/>
          </w:tcPr>
          <w:p w14:paraId="1F05E655" w14:textId="6B38FAA7" w:rsidR="008C3617" w:rsidRDefault="00D02CE4" w:rsidP="00A119BB">
            <w:pPr>
              <w:spacing w:after="0" w:line="240" w:lineRule="auto"/>
              <w:jc w:val="both"/>
            </w:pPr>
            <w:r>
              <w:t>Td</w:t>
            </w:r>
            <w:r w:rsidR="00F71FAA">
              <w:t xml:space="preserve"> arba </w:t>
            </w:r>
            <w:r>
              <w:t>Tdap vakcin</w:t>
            </w:r>
            <w:r w:rsidR="00F71FAA">
              <w:t>a</w:t>
            </w:r>
          </w:p>
        </w:tc>
        <w:tc>
          <w:tcPr>
            <w:tcW w:w="4111" w:type="dxa"/>
          </w:tcPr>
          <w:p w14:paraId="406203F9" w14:textId="511CF0A7" w:rsidR="008C3617" w:rsidRDefault="00D02CE4" w:rsidP="00BC6535">
            <w:pPr>
              <w:spacing w:after="0" w:line="240" w:lineRule="auto"/>
            </w:pPr>
            <w:r>
              <w:t>1 dozė kas 10 metų</w:t>
            </w:r>
            <w:r w:rsidR="00BC6535">
              <w:t xml:space="preserve"> </w:t>
            </w:r>
            <w:r w:rsidR="00BC6535" w:rsidRPr="00BC6535">
              <w:t xml:space="preserve">(Td vakcina), </w:t>
            </w:r>
            <w:r w:rsidR="00BC6535" w:rsidRPr="00BC6535">
              <w:rPr>
                <w:lang w:val="lt-LT"/>
              </w:rPr>
              <w:t>vieną revakcinaciją Td vakcina pakeisti revakcinacija nuo kokliušo, difterijos ir stabligės (Tdap vakcina), esant galimybei.</w:t>
            </w:r>
            <w:r w:rsidR="00BC6535">
              <w:t xml:space="preserve"> </w:t>
            </w:r>
          </w:p>
        </w:tc>
      </w:tr>
      <w:tr w:rsidR="008C3617" w14:paraId="21AEDD3C" w14:textId="77777777">
        <w:trPr>
          <w:trHeight w:val="372"/>
        </w:trPr>
        <w:tc>
          <w:tcPr>
            <w:tcW w:w="3544" w:type="dxa"/>
            <w:vMerge/>
          </w:tcPr>
          <w:p w14:paraId="17147720" w14:textId="77777777" w:rsidR="008C3617" w:rsidRDefault="008C3617" w:rsidP="00A119BB">
            <w:pPr>
              <w:spacing w:after="0" w:line="240" w:lineRule="auto"/>
              <w:jc w:val="both"/>
            </w:pPr>
          </w:p>
        </w:tc>
        <w:tc>
          <w:tcPr>
            <w:tcW w:w="3544" w:type="dxa"/>
          </w:tcPr>
          <w:p w14:paraId="072ACA97" w14:textId="77777777" w:rsidR="008C3617" w:rsidRDefault="00D02CE4" w:rsidP="00A119BB">
            <w:pPr>
              <w:spacing w:after="0" w:line="240" w:lineRule="auto"/>
              <w:jc w:val="both"/>
            </w:pPr>
            <w:r>
              <w:t>Erkinio encefalito vakcina</w:t>
            </w:r>
          </w:p>
        </w:tc>
        <w:tc>
          <w:tcPr>
            <w:tcW w:w="4111" w:type="dxa"/>
          </w:tcPr>
          <w:p w14:paraId="0FAAACAB" w14:textId="4D7AE446" w:rsidR="008C3617" w:rsidRPr="002A1CC9" w:rsidRDefault="0047158C" w:rsidP="0047158C">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r w:rsidR="008C3617" w14:paraId="438B76C4" w14:textId="77777777">
        <w:trPr>
          <w:trHeight w:val="349"/>
        </w:trPr>
        <w:tc>
          <w:tcPr>
            <w:tcW w:w="3544" w:type="dxa"/>
            <w:vMerge w:val="restart"/>
          </w:tcPr>
          <w:p w14:paraId="0FD221A3" w14:textId="77777777" w:rsidR="00DA61E0" w:rsidRDefault="00D02CE4" w:rsidP="00A119BB">
            <w:pPr>
              <w:spacing w:after="0" w:line="240" w:lineRule="auto"/>
              <w:jc w:val="both"/>
            </w:pPr>
            <w:r>
              <w:t>Onkohematologinių pacientų</w:t>
            </w:r>
          </w:p>
          <w:p w14:paraId="4C6A1AB7" w14:textId="0B613406" w:rsidR="008C3617" w:rsidRDefault="00D02CE4" w:rsidP="00A119BB">
            <w:pPr>
              <w:spacing w:after="0" w:line="240" w:lineRule="auto"/>
              <w:jc w:val="both"/>
            </w:pPr>
            <w:r>
              <w:t xml:space="preserve"> ir KKLT recipientų šeimos nariai</w:t>
            </w:r>
          </w:p>
        </w:tc>
        <w:tc>
          <w:tcPr>
            <w:tcW w:w="3544" w:type="dxa"/>
          </w:tcPr>
          <w:p w14:paraId="1D8FC91B" w14:textId="7F2D1A42" w:rsidR="008C3617" w:rsidRDefault="00D02CE4" w:rsidP="00A119BB">
            <w:pPr>
              <w:spacing w:after="0" w:line="240" w:lineRule="auto"/>
              <w:jc w:val="both"/>
            </w:pPr>
            <w:r>
              <w:t>Sezoninė gripo</w:t>
            </w:r>
            <w:r w:rsidR="00F71FAA">
              <w:t xml:space="preserve"> vakcina</w:t>
            </w:r>
          </w:p>
        </w:tc>
        <w:tc>
          <w:tcPr>
            <w:tcW w:w="4111" w:type="dxa"/>
          </w:tcPr>
          <w:p w14:paraId="3022D67E" w14:textId="27EACC91" w:rsidR="008C3617" w:rsidRDefault="002C0327" w:rsidP="00A119BB">
            <w:pPr>
              <w:spacing w:after="0" w:line="240" w:lineRule="auto"/>
              <w:jc w:val="both"/>
            </w:pPr>
            <w:r>
              <w:t xml:space="preserve">1 dozė </w:t>
            </w:r>
            <w:r w:rsidRPr="002C0327">
              <w:t>kasmet</w:t>
            </w:r>
            <w:r w:rsidR="002A1CC9">
              <w:t xml:space="preserve"> prieš gripo sezoną</w:t>
            </w:r>
            <w:r w:rsidR="00D02CE4">
              <w:t>.</w:t>
            </w:r>
          </w:p>
        </w:tc>
      </w:tr>
      <w:tr w:rsidR="008C3617" w14:paraId="2160CADB" w14:textId="77777777">
        <w:trPr>
          <w:trHeight w:val="212"/>
        </w:trPr>
        <w:tc>
          <w:tcPr>
            <w:tcW w:w="3544" w:type="dxa"/>
            <w:vMerge/>
          </w:tcPr>
          <w:p w14:paraId="5858129F" w14:textId="77777777" w:rsidR="008C3617" w:rsidRDefault="008C3617" w:rsidP="00A119BB">
            <w:pPr>
              <w:spacing w:after="0" w:line="240" w:lineRule="auto"/>
              <w:jc w:val="both"/>
            </w:pPr>
          </w:p>
        </w:tc>
        <w:tc>
          <w:tcPr>
            <w:tcW w:w="3544" w:type="dxa"/>
          </w:tcPr>
          <w:p w14:paraId="45CF3A4C" w14:textId="00554B18" w:rsidR="008C3617" w:rsidRDefault="00D02CE4" w:rsidP="00A119BB">
            <w:pPr>
              <w:spacing w:after="0" w:line="240" w:lineRule="auto"/>
              <w:jc w:val="both"/>
            </w:pPr>
            <w:r>
              <w:t>Vėjaraupių</w:t>
            </w:r>
            <w:r w:rsidR="00F71FAA">
              <w:t xml:space="preserve"> vakcina</w:t>
            </w:r>
          </w:p>
        </w:tc>
        <w:tc>
          <w:tcPr>
            <w:tcW w:w="4111" w:type="dxa"/>
          </w:tcPr>
          <w:p w14:paraId="39FC5BF6" w14:textId="7246876F" w:rsidR="008C3617" w:rsidRDefault="00D02CE4" w:rsidP="00A119BB">
            <w:pPr>
              <w:spacing w:after="0" w:line="240" w:lineRule="auto"/>
              <w:jc w:val="both"/>
            </w:pPr>
            <w:r>
              <w:t>2 dozės su ne mažesniu kaip 8 savaičių intervalu</w:t>
            </w:r>
            <w:r w:rsidR="00AB6242">
              <w:t>.</w:t>
            </w:r>
          </w:p>
        </w:tc>
      </w:tr>
      <w:tr w:rsidR="008C3617" w14:paraId="0B4C9446" w14:textId="77777777">
        <w:trPr>
          <w:trHeight w:val="532"/>
        </w:trPr>
        <w:tc>
          <w:tcPr>
            <w:tcW w:w="3544" w:type="dxa"/>
            <w:vMerge/>
          </w:tcPr>
          <w:p w14:paraId="1952E8E9" w14:textId="77777777" w:rsidR="008C3617" w:rsidRDefault="008C3617" w:rsidP="00A119BB">
            <w:pPr>
              <w:spacing w:after="0" w:line="240" w:lineRule="auto"/>
              <w:jc w:val="both"/>
            </w:pPr>
          </w:p>
        </w:tc>
        <w:tc>
          <w:tcPr>
            <w:tcW w:w="3544" w:type="dxa"/>
          </w:tcPr>
          <w:p w14:paraId="1CBDF2B6" w14:textId="632E8799" w:rsidR="008C3617" w:rsidRDefault="00D02CE4" w:rsidP="00A119BB">
            <w:pPr>
              <w:spacing w:after="0" w:line="240" w:lineRule="auto"/>
              <w:jc w:val="both"/>
            </w:pPr>
            <w:r>
              <w:t>Tymų, epideminio parotito, raudonukės</w:t>
            </w:r>
            <w:r w:rsidR="00F71FAA">
              <w:t xml:space="preserve"> vakcina</w:t>
            </w:r>
          </w:p>
        </w:tc>
        <w:tc>
          <w:tcPr>
            <w:tcW w:w="4111" w:type="dxa"/>
          </w:tcPr>
          <w:p w14:paraId="44299BD8" w14:textId="5145CD9D" w:rsidR="008C3617" w:rsidRDefault="00D02CE4" w:rsidP="00A119BB">
            <w:pPr>
              <w:spacing w:after="0" w:line="240" w:lineRule="auto"/>
              <w:jc w:val="both"/>
            </w:pPr>
            <w:r>
              <w:t>1 dozė</w:t>
            </w:r>
            <w:r w:rsidR="00AB6242">
              <w:t>.</w:t>
            </w:r>
          </w:p>
        </w:tc>
      </w:tr>
      <w:tr w:rsidR="008C3617" w14:paraId="18511A08" w14:textId="77777777">
        <w:trPr>
          <w:trHeight w:val="402"/>
        </w:trPr>
        <w:tc>
          <w:tcPr>
            <w:tcW w:w="3544" w:type="dxa"/>
            <w:vMerge/>
          </w:tcPr>
          <w:p w14:paraId="13E0FD00" w14:textId="77777777" w:rsidR="008C3617" w:rsidRDefault="008C3617" w:rsidP="00A119BB">
            <w:pPr>
              <w:spacing w:after="0" w:line="240" w:lineRule="auto"/>
              <w:jc w:val="both"/>
            </w:pPr>
          </w:p>
        </w:tc>
        <w:tc>
          <w:tcPr>
            <w:tcW w:w="3544" w:type="dxa"/>
          </w:tcPr>
          <w:p w14:paraId="3956ABFD" w14:textId="627E7CC6" w:rsidR="008C3617" w:rsidRDefault="00D02CE4" w:rsidP="00A119BB">
            <w:pPr>
              <w:spacing w:after="0" w:line="240" w:lineRule="auto"/>
              <w:jc w:val="both"/>
            </w:pPr>
            <w:r>
              <w:t>Td</w:t>
            </w:r>
            <w:r w:rsidR="00F71FAA">
              <w:t xml:space="preserve"> arba </w:t>
            </w:r>
            <w:r>
              <w:t>Tdap vakcin</w:t>
            </w:r>
            <w:r w:rsidR="00F71FAA">
              <w:t>a</w:t>
            </w:r>
          </w:p>
        </w:tc>
        <w:tc>
          <w:tcPr>
            <w:tcW w:w="4111" w:type="dxa"/>
          </w:tcPr>
          <w:p w14:paraId="4D10CB39" w14:textId="6DDD3FDD" w:rsidR="008C3617" w:rsidRDefault="00D02CE4" w:rsidP="00883C65">
            <w:pPr>
              <w:spacing w:after="0" w:line="240" w:lineRule="auto"/>
            </w:pPr>
            <w:r>
              <w:t>1 dozė kas 10 metų</w:t>
            </w:r>
            <w:r w:rsidR="00883C65">
              <w:t xml:space="preserve"> </w:t>
            </w:r>
            <w:r w:rsidR="00883C65" w:rsidRPr="00883C65">
              <w:t xml:space="preserve">(Td vakcina), </w:t>
            </w:r>
            <w:r w:rsidR="00883C65" w:rsidRPr="00883C65">
              <w:rPr>
                <w:lang w:val="lt-LT"/>
              </w:rPr>
              <w:t>vieną revakcinaciją Td vakcina pakeisti revakcinacija nuo kokliušo, difterijos ir stabligės (Tdap vakcina), esant galimybei.</w:t>
            </w:r>
          </w:p>
        </w:tc>
      </w:tr>
    </w:tbl>
    <w:p w14:paraId="7A6073F4" w14:textId="77777777" w:rsidR="008C3617" w:rsidRDefault="008C3617">
      <w:pPr>
        <w:jc w:val="both"/>
      </w:pPr>
    </w:p>
    <w:p w14:paraId="144A2993" w14:textId="7C2997EF" w:rsidR="0093459A" w:rsidRPr="00A52D8F" w:rsidRDefault="0093459A">
      <w:pPr>
        <w:jc w:val="both"/>
        <w:rPr>
          <w:b/>
        </w:rPr>
      </w:pPr>
      <w:r w:rsidRPr="00A52D8F">
        <w:rPr>
          <w:b/>
        </w:rPr>
        <w:t>Pastabos:</w:t>
      </w:r>
    </w:p>
    <w:p w14:paraId="614D49AE" w14:textId="08510E57" w:rsidR="008C3617" w:rsidRDefault="00D02CE4">
      <w:pPr>
        <w:jc w:val="both"/>
      </w:pPr>
      <w:r w:rsidRPr="00BB57E7">
        <w:t>Paskyrus imunosupresinę terapiją</w:t>
      </w:r>
      <w:r w:rsidR="003827C2" w:rsidRPr="00BB57E7">
        <w:t xml:space="preserve">, nerekomenduojama skiepyti </w:t>
      </w:r>
      <w:r w:rsidRPr="00BB57E7">
        <w:t>gyvomis vakcinomis</w:t>
      </w:r>
      <w:r w:rsidR="00BB57E7" w:rsidRPr="00BB57E7">
        <w:t xml:space="preserve">: </w:t>
      </w:r>
      <w:r w:rsidR="00BB57E7">
        <w:t>ty</w:t>
      </w:r>
      <w:r w:rsidR="00044682">
        <w:t>mų, raudonukės, parotito</w:t>
      </w:r>
      <w:r w:rsidR="00BB57E7">
        <w:t>, vėjaraupių</w:t>
      </w:r>
      <w:r w:rsidR="00044682">
        <w:t>,</w:t>
      </w:r>
      <w:r w:rsidR="00BB57E7">
        <w:t xml:space="preserve"> </w:t>
      </w:r>
      <w:r w:rsidR="00044682" w:rsidRPr="00BB57E7">
        <w:rPr>
          <w:i/>
        </w:rPr>
        <w:t>Herpes zoster</w:t>
      </w:r>
      <w:r w:rsidR="00BB57E7">
        <w:t xml:space="preserve">, </w:t>
      </w:r>
      <w:r w:rsidR="00044682" w:rsidRPr="00BB57E7">
        <w:t>rotaviruso</w:t>
      </w:r>
      <w:r w:rsidR="00044682">
        <w:t xml:space="preserve">, </w:t>
      </w:r>
      <w:r w:rsidR="00044682" w:rsidRPr="00BB57E7">
        <w:t>choleros</w:t>
      </w:r>
      <w:r w:rsidR="00044682">
        <w:t xml:space="preserve">, </w:t>
      </w:r>
      <w:r w:rsidR="00044682" w:rsidRPr="00BB57E7">
        <w:t xml:space="preserve">intranazaline gripo </w:t>
      </w:r>
      <w:r w:rsidR="00044682">
        <w:t>ir geltonojo drugio vakcinomis</w:t>
      </w:r>
      <w:r w:rsidR="003827C2" w:rsidRPr="00BB57E7">
        <w:t>.</w:t>
      </w:r>
    </w:p>
    <w:p w14:paraId="2E6A631E" w14:textId="25B5B53D" w:rsidR="009B20EB" w:rsidRPr="00BB57E7" w:rsidRDefault="009B20EB">
      <w:pPr>
        <w:jc w:val="both"/>
      </w:pPr>
      <w:r>
        <w:t>Po vėjaraupių ir tymų, raudonukės, parotito vakcinos įskiepijimo onkohematologinių pacientų ir KKLT recipientų šeimos nariams, rekomenduojama apriboti paskiepytojo kontaktą su imunosupresyviu pacientu tiek laiko, kiek trunka virusinės infekcijos, nuo kurios asmuo paskiepytas, inkubacinis laikotarpis.</w:t>
      </w:r>
    </w:p>
    <w:p w14:paraId="6D1083BB" w14:textId="77777777" w:rsidR="008C3617" w:rsidRPr="00A52D8F" w:rsidRDefault="00D02CE4">
      <w:pPr>
        <w:spacing w:after="120"/>
        <w:rPr>
          <w:b/>
        </w:rPr>
      </w:pPr>
      <w:r w:rsidRPr="00A52D8F">
        <w:rPr>
          <w:b/>
        </w:rPr>
        <w:t>Paaiškinimai:</w:t>
      </w:r>
    </w:p>
    <w:p w14:paraId="2D9A8FE0" w14:textId="08FBAD47" w:rsidR="008C3617" w:rsidRDefault="00D02CE4">
      <w:pPr>
        <w:spacing w:after="120"/>
      </w:pPr>
      <w:r>
        <w:t>PCV13 – pneumokokinė polisacharidinė konjuguota 13-valentė vakcina</w:t>
      </w:r>
    </w:p>
    <w:p w14:paraId="1D8E506E" w14:textId="5ABB229F" w:rsidR="008C3617" w:rsidRDefault="00D02CE4">
      <w:pPr>
        <w:spacing w:after="120"/>
      </w:pPr>
      <w:r>
        <w:lastRenderedPageBreak/>
        <w:t>PPSV23 – pneumokokinė polisacharidinė 23-valentė vakcina</w:t>
      </w:r>
    </w:p>
    <w:p w14:paraId="77B04D72" w14:textId="2FBBA79F" w:rsidR="008C3617" w:rsidRPr="005B0600" w:rsidRDefault="00D02CE4">
      <w:pPr>
        <w:spacing w:after="120"/>
      </w:pPr>
      <w:r w:rsidRPr="005B0600">
        <w:t>VHB – virusini</w:t>
      </w:r>
      <w:r w:rsidR="00AB6242" w:rsidRPr="005B0600">
        <w:t>o</w:t>
      </w:r>
      <w:r w:rsidRPr="005B0600">
        <w:t xml:space="preserve"> hepatit</w:t>
      </w:r>
      <w:r w:rsidR="00AB6242" w:rsidRPr="005B0600">
        <w:t>o</w:t>
      </w:r>
      <w:r w:rsidRPr="005B0600">
        <w:t xml:space="preserve"> B </w:t>
      </w:r>
      <w:r w:rsidR="00AB6242" w:rsidRPr="005B0600">
        <w:t>vakcina</w:t>
      </w:r>
    </w:p>
    <w:p w14:paraId="12435920" w14:textId="77777777" w:rsidR="0093459A" w:rsidRPr="005B0600" w:rsidRDefault="0093459A" w:rsidP="0093459A">
      <w:pPr>
        <w:spacing w:after="120"/>
      </w:pPr>
      <w:r w:rsidRPr="005B0600">
        <w:t>HBsAg – hepatito B viruso paviršiaus antigenas</w:t>
      </w:r>
    </w:p>
    <w:p w14:paraId="3CBEED81" w14:textId="77777777" w:rsidR="0093459A" w:rsidRPr="005B0600" w:rsidRDefault="0093459A" w:rsidP="0093459A">
      <w:pPr>
        <w:spacing w:after="120"/>
      </w:pPr>
      <w:r w:rsidRPr="005B0600">
        <w:t>Anti-HBc – antikūnai prieš hepatito B viruso šerdinį antigeną</w:t>
      </w:r>
    </w:p>
    <w:p w14:paraId="62B69A1E" w14:textId="03AA2F48" w:rsidR="0093459A" w:rsidRPr="005B0600" w:rsidRDefault="0093459A" w:rsidP="0093459A">
      <w:pPr>
        <w:spacing w:after="120"/>
      </w:pPr>
      <w:r w:rsidRPr="005B0600">
        <w:t>Anti-HBs – antikūnai prieš hepatito B viruso paviršiaus antigeną</w:t>
      </w:r>
    </w:p>
    <w:p w14:paraId="4198052D" w14:textId="6B2AEAA5" w:rsidR="008C3617" w:rsidRPr="005B0600" w:rsidRDefault="00D02CE4">
      <w:pPr>
        <w:spacing w:after="120"/>
      </w:pPr>
      <w:r w:rsidRPr="005B0600">
        <w:t>Td – difterijos, stabligės toksoidų vakcina</w:t>
      </w:r>
    </w:p>
    <w:p w14:paraId="000B6572" w14:textId="4D1A5621" w:rsidR="008C3617" w:rsidRDefault="00D02CE4">
      <w:pPr>
        <w:spacing w:after="120"/>
      </w:pPr>
      <w:r>
        <w:t xml:space="preserve">Tdap - difterijos, stabligės toksoidų ir </w:t>
      </w:r>
      <w:r w:rsidR="00AB6242">
        <w:t xml:space="preserve">neląstelinio </w:t>
      </w:r>
      <w:r>
        <w:t>kokliušo vakcina</w:t>
      </w:r>
    </w:p>
    <w:p w14:paraId="503F6E93" w14:textId="7894E341" w:rsidR="008C3617" w:rsidRDefault="00D02CE4">
      <w:pPr>
        <w:spacing w:after="120"/>
      </w:pPr>
      <w:r>
        <w:t>KKLT - kraujodaros kamieninių ląstelių transplantacija</w:t>
      </w:r>
    </w:p>
    <w:p w14:paraId="05A2168E" w14:textId="77777777" w:rsidR="003827C2" w:rsidRDefault="003827C2">
      <w:pPr>
        <w:jc w:val="both"/>
      </w:pPr>
    </w:p>
    <w:p w14:paraId="2C81E508" w14:textId="77777777" w:rsidR="008C3617" w:rsidRPr="00A52D8F" w:rsidRDefault="00D02CE4">
      <w:pPr>
        <w:jc w:val="both"/>
        <w:rPr>
          <w:b/>
        </w:rPr>
      </w:pPr>
      <w:r w:rsidRPr="00A52D8F">
        <w:rPr>
          <w:b/>
        </w:rPr>
        <w:t>Literatūros šaltiniai:</w:t>
      </w:r>
    </w:p>
    <w:p w14:paraId="0E3C2D0A" w14:textId="3780DB3E" w:rsidR="008C3617" w:rsidRDefault="00D02CE4">
      <w:pPr>
        <w:pStyle w:val="ListParagraph1"/>
        <w:numPr>
          <w:ilvl w:val="0"/>
          <w:numId w:val="3"/>
        </w:numPr>
        <w:jc w:val="both"/>
      </w:pPr>
      <w:r>
        <w:t>Rubin et al. 2013 IDSA Clinical Practice Guideline for Vaccination of the Immunocompromised Host</w:t>
      </w:r>
      <w:r w:rsidR="00E128F9">
        <w:t>. Clinical infectious Diseases. 2014;</w:t>
      </w:r>
      <w:r>
        <w:t xml:space="preserve"> 58 (3)</w:t>
      </w:r>
      <w:r w:rsidR="00AB6242">
        <w:t>:</w:t>
      </w:r>
      <w:r>
        <w:t xml:space="preserve"> 309-318.</w:t>
      </w:r>
    </w:p>
    <w:p w14:paraId="359896E6" w14:textId="50829108" w:rsidR="008C3617" w:rsidRDefault="00404299">
      <w:pPr>
        <w:pStyle w:val="ListParagraph1"/>
        <w:numPr>
          <w:ilvl w:val="0"/>
          <w:numId w:val="3"/>
        </w:numPr>
        <w:jc w:val="both"/>
      </w:pPr>
      <w:r>
        <w:t>Shehata MA, Karim NA. Influenz</w:t>
      </w:r>
      <w:r w:rsidR="00D02CE4">
        <w:t>a vaccination in Cancer Patients Undergoing Systemic Th</w:t>
      </w:r>
      <w:r w:rsidR="00E128F9">
        <w:t>erapy. Clin Med Insights Oncol. 2014;</w:t>
      </w:r>
      <w:r w:rsidR="00D02CE4">
        <w:t xml:space="preserve"> 8: 57-64.</w:t>
      </w:r>
    </w:p>
    <w:p w14:paraId="5E33F468" w14:textId="52F38454" w:rsidR="009B33DA" w:rsidRPr="00EA757D" w:rsidRDefault="00D02CE4" w:rsidP="00DD4935">
      <w:pPr>
        <w:pStyle w:val="ListParagraph1"/>
        <w:numPr>
          <w:ilvl w:val="0"/>
          <w:numId w:val="3"/>
        </w:numPr>
        <w:jc w:val="both"/>
      </w:pPr>
      <w:r w:rsidRPr="00DD4935">
        <w:t xml:space="preserve">Tsang V. </w:t>
      </w:r>
      <w:r w:rsidRPr="00DD4935">
        <w:rPr>
          <w:rFonts w:eastAsia="Times New Roman" w:cs="Arial"/>
          <w:bCs/>
          <w:color w:val="000000"/>
          <w:kern w:val="36"/>
        </w:rPr>
        <w:t xml:space="preserve">Vaccination Recommendations for the Hematology and Oncology and Post–Stem Cell Transplant Populations.  </w:t>
      </w:r>
      <w:r w:rsidRPr="00DD4935">
        <w:rPr>
          <w:rFonts w:eastAsia="Times New Roman" w:cs="Arial"/>
          <w:color w:val="000000"/>
        </w:rPr>
        <w:t>J Adv Pract Oncol</w:t>
      </w:r>
      <w:r w:rsidR="00AB6242" w:rsidRPr="00DD4935">
        <w:rPr>
          <w:rFonts w:eastAsia="Times New Roman" w:cs="Arial"/>
          <w:color w:val="000000"/>
        </w:rPr>
        <w:t xml:space="preserve">. </w:t>
      </w:r>
      <w:r w:rsidRPr="00DD4935">
        <w:rPr>
          <w:rFonts w:eastAsia="Times New Roman" w:cs="Arial"/>
          <w:color w:val="000000"/>
        </w:rPr>
        <w:t>2012; 3</w:t>
      </w:r>
      <w:r w:rsidR="00AB6242" w:rsidRPr="00DD4935">
        <w:rPr>
          <w:rFonts w:eastAsia="Times New Roman" w:cs="Arial"/>
          <w:color w:val="000000"/>
        </w:rPr>
        <w:t xml:space="preserve"> </w:t>
      </w:r>
      <w:r w:rsidRPr="00DD4935">
        <w:rPr>
          <w:rFonts w:eastAsia="Times New Roman" w:cs="Arial"/>
          <w:color w:val="000000"/>
        </w:rPr>
        <w:t>(2): 71–83.</w:t>
      </w:r>
    </w:p>
    <w:p w14:paraId="3D606401" w14:textId="6553632C" w:rsidR="00EA757D" w:rsidRPr="0004367C" w:rsidRDefault="00EA757D" w:rsidP="00DD4935">
      <w:pPr>
        <w:pStyle w:val="ListParagraph1"/>
        <w:numPr>
          <w:ilvl w:val="0"/>
          <w:numId w:val="3"/>
        </w:numPr>
        <w:jc w:val="both"/>
        <w:rPr>
          <w:color w:val="000000" w:themeColor="text1"/>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r w:rsidR="00B729DE" w:rsidRPr="0004367C">
        <w:rPr>
          <w:color w:val="000000" w:themeColor="text1"/>
        </w:rPr>
        <w:t>.</w:t>
      </w:r>
    </w:p>
    <w:p w14:paraId="15A5E86B" w14:textId="77777777" w:rsidR="009B33DA" w:rsidRDefault="009B33DA">
      <w:pPr>
        <w:jc w:val="both"/>
      </w:pPr>
    </w:p>
    <w:p w14:paraId="6A15075A" w14:textId="77777777" w:rsidR="00C84CC9" w:rsidRDefault="00C84CC9">
      <w:pPr>
        <w:jc w:val="both"/>
      </w:pPr>
    </w:p>
    <w:p w14:paraId="43C807D3" w14:textId="77777777" w:rsidR="00C84CC9" w:rsidRPr="00DD4935" w:rsidRDefault="00C84CC9">
      <w:pPr>
        <w:jc w:val="both"/>
      </w:pPr>
    </w:p>
    <w:p w14:paraId="382FEDA1" w14:textId="77777777" w:rsidR="00EE7F44" w:rsidRDefault="00EE7F44" w:rsidP="00C84CC9">
      <w:pPr>
        <w:pStyle w:val="ListParagraph"/>
        <w:jc w:val="both"/>
        <w:rPr>
          <w:b/>
        </w:rPr>
      </w:pPr>
    </w:p>
    <w:p w14:paraId="21BC004C" w14:textId="77777777" w:rsidR="00EE7F44" w:rsidRDefault="00EE7F44" w:rsidP="00C84CC9">
      <w:pPr>
        <w:pStyle w:val="ListParagraph"/>
        <w:jc w:val="both"/>
        <w:rPr>
          <w:b/>
        </w:rPr>
      </w:pPr>
    </w:p>
    <w:p w14:paraId="44643009" w14:textId="77777777" w:rsidR="00EE7F44" w:rsidRDefault="00EE7F44" w:rsidP="00C84CC9">
      <w:pPr>
        <w:pStyle w:val="ListParagraph"/>
        <w:jc w:val="both"/>
        <w:rPr>
          <w:b/>
        </w:rPr>
      </w:pPr>
    </w:p>
    <w:p w14:paraId="5293AD99" w14:textId="77777777" w:rsidR="00EE7F44" w:rsidRDefault="00EE7F44" w:rsidP="00C84CC9">
      <w:pPr>
        <w:pStyle w:val="ListParagraph"/>
        <w:jc w:val="both"/>
        <w:rPr>
          <w:b/>
        </w:rPr>
      </w:pPr>
    </w:p>
    <w:p w14:paraId="0677A8BE" w14:textId="77777777" w:rsidR="00EE7F44" w:rsidRDefault="00EE7F44" w:rsidP="00C84CC9">
      <w:pPr>
        <w:pStyle w:val="ListParagraph"/>
        <w:jc w:val="both"/>
        <w:rPr>
          <w:b/>
        </w:rPr>
      </w:pPr>
    </w:p>
    <w:p w14:paraId="3791328D" w14:textId="77777777" w:rsidR="00EE7F44" w:rsidRDefault="00EE7F44" w:rsidP="00C84CC9">
      <w:pPr>
        <w:pStyle w:val="ListParagraph"/>
        <w:jc w:val="both"/>
        <w:rPr>
          <w:b/>
        </w:rPr>
      </w:pPr>
    </w:p>
    <w:p w14:paraId="584D2788" w14:textId="77777777" w:rsidR="00EE7F44" w:rsidRDefault="00EE7F44" w:rsidP="00C84CC9">
      <w:pPr>
        <w:pStyle w:val="ListParagraph"/>
        <w:jc w:val="both"/>
        <w:rPr>
          <w:b/>
        </w:rPr>
      </w:pPr>
    </w:p>
    <w:p w14:paraId="22F28438" w14:textId="77777777" w:rsidR="00EE7F44" w:rsidRDefault="00EE7F44" w:rsidP="00C84CC9">
      <w:pPr>
        <w:pStyle w:val="ListParagraph"/>
        <w:jc w:val="both"/>
        <w:rPr>
          <w:b/>
        </w:rPr>
      </w:pPr>
    </w:p>
    <w:p w14:paraId="4CC71CD4" w14:textId="77777777" w:rsidR="00EE7F44" w:rsidRDefault="00EE7F44" w:rsidP="00C84CC9">
      <w:pPr>
        <w:pStyle w:val="ListParagraph"/>
        <w:jc w:val="both"/>
        <w:rPr>
          <w:b/>
        </w:rPr>
      </w:pPr>
    </w:p>
    <w:p w14:paraId="0DA9CB9B" w14:textId="77777777" w:rsidR="00EE7F44" w:rsidRDefault="00EE7F44" w:rsidP="00C84CC9">
      <w:pPr>
        <w:pStyle w:val="ListParagraph"/>
        <w:jc w:val="both"/>
        <w:rPr>
          <w:b/>
        </w:rPr>
      </w:pPr>
    </w:p>
    <w:p w14:paraId="45F4C3F0" w14:textId="77777777" w:rsidR="00EE7F44" w:rsidRDefault="00EE7F44" w:rsidP="00C84CC9">
      <w:pPr>
        <w:pStyle w:val="ListParagraph"/>
        <w:jc w:val="both"/>
        <w:rPr>
          <w:b/>
        </w:rPr>
      </w:pPr>
    </w:p>
    <w:p w14:paraId="5A0DA4BA" w14:textId="77777777" w:rsidR="00EE7F44" w:rsidRDefault="00EE7F44" w:rsidP="00C84CC9">
      <w:pPr>
        <w:pStyle w:val="ListParagraph"/>
        <w:jc w:val="both"/>
        <w:rPr>
          <w:b/>
        </w:rPr>
      </w:pPr>
    </w:p>
    <w:p w14:paraId="359EF559" w14:textId="58756BE7" w:rsidR="008C3617" w:rsidRPr="00BB15A1" w:rsidRDefault="00EE7F44" w:rsidP="00C84CC9">
      <w:pPr>
        <w:pStyle w:val="ListParagraph"/>
        <w:jc w:val="both"/>
        <w:rPr>
          <w:b/>
        </w:rPr>
      </w:pPr>
      <w:r>
        <w:rPr>
          <w:b/>
        </w:rPr>
        <w:t> </w:t>
      </w:r>
      <w:r w:rsidR="00C84CC9">
        <w:rPr>
          <w:b/>
        </w:rPr>
        <w:t xml:space="preserve">4.  </w:t>
      </w:r>
      <w:r w:rsidR="00BB15A1" w:rsidRPr="00BB15A1">
        <w:rPr>
          <w:b/>
        </w:rPr>
        <w:t>R</w:t>
      </w:r>
      <w:r w:rsidR="00D02CE4" w:rsidRPr="00BB15A1">
        <w:rPr>
          <w:b/>
        </w:rPr>
        <w:t>eumatinėmis (lėtinėmis autoimuninėmis už</w:t>
      </w:r>
      <w:r w:rsidR="00BB15A1" w:rsidRPr="00BB15A1">
        <w:rPr>
          <w:b/>
        </w:rPr>
        <w:t>degiminėmis) ligomis sergančių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02"/>
        <w:gridCol w:w="4253"/>
      </w:tblGrid>
      <w:tr w:rsidR="008C3617" w14:paraId="158194A2" w14:textId="77777777">
        <w:tc>
          <w:tcPr>
            <w:tcW w:w="3544" w:type="dxa"/>
          </w:tcPr>
          <w:p w14:paraId="2E371AB2" w14:textId="77777777" w:rsidR="008C3617" w:rsidRDefault="00D02CE4">
            <w:pPr>
              <w:jc w:val="both"/>
              <w:rPr>
                <w:b/>
              </w:rPr>
            </w:pPr>
            <w:r>
              <w:rPr>
                <w:b/>
              </w:rPr>
              <w:lastRenderedPageBreak/>
              <w:t>Rizikos ligos/būklės</w:t>
            </w:r>
          </w:p>
        </w:tc>
        <w:tc>
          <w:tcPr>
            <w:tcW w:w="3402" w:type="dxa"/>
          </w:tcPr>
          <w:p w14:paraId="1307DD75" w14:textId="77777777" w:rsidR="008C3617" w:rsidRDefault="00D02CE4">
            <w:pPr>
              <w:jc w:val="both"/>
              <w:rPr>
                <w:b/>
              </w:rPr>
            </w:pPr>
            <w:r>
              <w:rPr>
                <w:b/>
              </w:rPr>
              <w:t>Rekomenduojamos vakcinos</w:t>
            </w:r>
          </w:p>
        </w:tc>
        <w:tc>
          <w:tcPr>
            <w:tcW w:w="4253" w:type="dxa"/>
          </w:tcPr>
          <w:p w14:paraId="2FC78D39" w14:textId="77777777" w:rsidR="008C3617" w:rsidRDefault="00D02CE4">
            <w:pPr>
              <w:jc w:val="both"/>
              <w:rPr>
                <w:b/>
              </w:rPr>
            </w:pPr>
            <w:r>
              <w:rPr>
                <w:b/>
              </w:rPr>
              <w:t>Pastabos dėl vakcinų vartojimo</w:t>
            </w:r>
          </w:p>
        </w:tc>
      </w:tr>
      <w:tr w:rsidR="008C3617" w14:paraId="58452528" w14:textId="77777777">
        <w:tc>
          <w:tcPr>
            <w:tcW w:w="3544" w:type="dxa"/>
            <w:vMerge w:val="restart"/>
          </w:tcPr>
          <w:p w14:paraId="272FC4EC" w14:textId="77777777" w:rsidR="008C3617" w:rsidRDefault="00D02CE4" w:rsidP="0078448F">
            <w:pPr>
              <w:jc w:val="both"/>
            </w:pPr>
            <w:r>
              <w:t>Prieš skiriant imunosupresinę ir/arba biologinę terapiją</w:t>
            </w:r>
          </w:p>
        </w:tc>
        <w:tc>
          <w:tcPr>
            <w:tcW w:w="3402" w:type="dxa"/>
          </w:tcPr>
          <w:p w14:paraId="6EA262CE" w14:textId="1E247B16" w:rsidR="008C3617" w:rsidRDefault="00D02CE4" w:rsidP="0078448F">
            <w:pPr>
              <w:jc w:val="both"/>
            </w:pPr>
            <w:r>
              <w:t>Sezoninė gripo</w:t>
            </w:r>
            <w:r w:rsidR="00AB6242">
              <w:t xml:space="preserve"> vakcina</w:t>
            </w:r>
          </w:p>
        </w:tc>
        <w:tc>
          <w:tcPr>
            <w:tcW w:w="4253" w:type="dxa"/>
          </w:tcPr>
          <w:p w14:paraId="66B56734" w14:textId="081FD250" w:rsidR="008C3617" w:rsidRDefault="002C0327" w:rsidP="0078448F">
            <w:pPr>
              <w:jc w:val="both"/>
            </w:pPr>
            <w:r>
              <w:t xml:space="preserve">1 dozė </w:t>
            </w:r>
            <w:r w:rsidRPr="002C0327">
              <w:t>kasmet</w:t>
            </w:r>
            <w:r w:rsidR="009B33DA">
              <w:t xml:space="preserve"> prieš gripo sezoną</w:t>
            </w:r>
            <w:r w:rsidR="00D02CE4">
              <w:t>.</w:t>
            </w:r>
          </w:p>
        </w:tc>
      </w:tr>
      <w:tr w:rsidR="008C3617" w14:paraId="3E9DDEC5" w14:textId="77777777" w:rsidTr="0052244A">
        <w:trPr>
          <w:trHeight w:val="4753"/>
        </w:trPr>
        <w:tc>
          <w:tcPr>
            <w:tcW w:w="3544" w:type="dxa"/>
            <w:vMerge/>
          </w:tcPr>
          <w:p w14:paraId="6FAF659E" w14:textId="77777777" w:rsidR="008C3617" w:rsidRDefault="008C3617" w:rsidP="0078448F">
            <w:pPr>
              <w:jc w:val="both"/>
            </w:pPr>
          </w:p>
        </w:tc>
        <w:tc>
          <w:tcPr>
            <w:tcW w:w="3402" w:type="dxa"/>
          </w:tcPr>
          <w:p w14:paraId="36DA426E" w14:textId="7892C71E" w:rsidR="008C3617" w:rsidRDefault="00D02CE4" w:rsidP="0078448F">
            <w:pPr>
              <w:jc w:val="both"/>
            </w:pPr>
            <w:r>
              <w:t>Pneumokokinė</w:t>
            </w:r>
            <w:r w:rsidR="00AB6242">
              <w:t xml:space="preserve"> vakcina</w:t>
            </w:r>
          </w:p>
        </w:tc>
        <w:tc>
          <w:tcPr>
            <w:tcW w:w="4253" w:type="dxa"/>
          </w:tcPr>
          <w:p w14:paraId="6F9D089E" w14:textId="77777777" w:rsidR="0052244A" w:rsidRDefault="001A33F1" w:rsidP="0052244A">
            <w:pPr>
              <w:rPr>
                <w:lang w:val="lt-LT"/>
              </w:rPr>
            </w:pPr>
            <w:r w:rsidRPr="001A33F1">
              <w:rPr>
                <w:lang w:val="lt-LT"/>
              </w:rPr>
              <w:t>Asmenys, kurie anksčiau nebuvo skiepyti pneumokokine vakcina (PKV13 ar PPSV23): 1 dozė PKV13.</w:t>
            </w:r>
          </w:p>
          <w:p w14:paraId="6E333C51" w14:textId="766086E9" w:rsidR="008C3617" w:rsidRDefault="001A33F1" w:rsidP="0052244A">
            <w:r>
              <w:rPr>
                <w:lang w:val="lt-LT"/>
              </w:rPr>
              <w:t xml:space="preserve"> </w:t>
            </w:r>
            <w:r w:rsidRPr="001A33F1">
              <w:rPr>
                <w:lang w:val="lt-LT"/>
              </w:rPr>
              <w:t>Asmenys, kurie anksčiau buvo skiepyti PPSV23, bet nebuvo skiepyti PKV13: papildomai turėtų būti paskiepyti PKV13 praėjus mažiausiai 1 metams po PPSV23.</w:t>
            </w:r>
            <w:r>
              <w:rPr>
                <w:lang w:val="lt-LT"/>
              </w:rPr>
              <w:t xml:space="preserve"> </w:t>
            </w:r>
            <w:r>
              <w:t xml:space="preserve">Vakcina rekomenduojama </w:t>
            </w:r>
            <w:r w:rsidR="00AB6242">
              <w:t xml:space="preserve">skiepyti likus ne mažiau, kaip </w:t>
            </w:r>
            <w:r w:rsidR="00D02CE4">
              <w:t>2 savai</w:t>
            </w:r>
            <w:r w:rsidR="00AB6242">
              <w:t>tėms</w:t>
            </w:r>
            <w:r w:rsidR="00D02CE4">
              <w:t xml:space="preserve"> iki </w:t>
            </w:r>
            <w:r w:rsidR="00AB6242">
              <w:t>numatomos i</w:t>
            </w:r>
            <w:r w:rsidR="00D02CE4">
              <w:t>munosupresinio gydymo pradžios</w:t>
            </w:r>
            <w:r w:rsidR="00482B1D">
              <w:t xml:space="preserve">. Imunosupresinio gydymo metu galima skiepyti asmenis, gydomus </w:t>
            </w:r>
            <w:r w:rsidR="00D02CE4">
              <w:t>mažų dozių sisteminiais kortikosteroidais, kurių dozė ekvivalentiška prednizonolo &lt;</w:t>
            </w:r>
            <w:r w:rsidR="007D10CD">
              <w:t xml:space="preserve"> </w:t>
            </w:r>
            <w:r w:rsidR="00744AFE">
              <w:t xml:space="preserve">20 mg </w:t>
            </w:r>
            <w:r>
              <w:t>per parą</w:t>
            </w:r>
            <w:r w:rsidR="00E947F0">
              <w:t>.</w:t>
            </w:r>
          </w:p>
        </w:tc>
      </w:tr>
      <w:tr w:rsidR="008C3617" w14:paraId="5A8A0E85" w14:textId="77777777">
        <w:trPr>
          <w:trHeight w:val="288"/>
        </w:trPr>
        <w:tc>
          <w:tcPr>
            <w:tcW w:w="3544" w:type="dxa"/>
            <w:vMerge/>
          </w:tcPr>
          <w:p w14:paraId="49780268" w14:textId="77777777" w:rsidR="008C3617" w:rsidRDefault="008C3617" w:rsidP="0078448F">
            <w:pPr>
              <w:jc w:val="both"/>
            </w:pPr>
          </w:p>
        </w:tc>
        <w:tc>
          <w:tcPr>
            <w:tcW w:w="3402" w:type="dxa"/>
          </w:tcPr>
          <w:p w14:paraId="1C013DA1" w14:textId="77777777" w:rsidR="008C3617" w:rsidRDefault="00D02CE4" w:rsidP="0078448F">
            <w:pPr>
              <w:jc w:val="both"/>
            </w:pPr>
            <w:r>
              <w:t>Erkinio encefalito vakcina</w:t>
            </w:r>
          </w:p>
        </w:tc>
        <w:tc>
          <w:tcPr>
            <w:tcW w:w="4253" w:type="dxa"/>
            <w:tcBorders>
              <w:bottom w:val="single" w:sz="4" w:space="0" w:color="auto"/>
            </w:tcBorders>
          </w:tcPr>
          <w:p w14:paraId="76A607E7" w14:textId="7A6B844C" w:rsidR="008C3617" w:rsidRPr="009B33DA" w:rsidRDefault="00286EC3" w:rsidP="00286EC3">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r w:rsidR="008C3617" w14:paraId="0C0671C2" w14:textId="77777777">
        <w:trPr>
          <w:trHeight w:val="3118"/>
        </w:trPr>
        <w:tc>
          <w:tcPr>
            <w:tcW w:w="3544" w:type="dxa"/>
            <w:vMerge/>
          </w:tcPr>
          <w:p w14:paraId="7D5BE9D7" w14:textId="77777777" w:rsidR="008C3617" w:rsidRDefault="008C3617" w:rsidP="0078448F">
            <w:pPr>
              <w:jc w:val="both"/>
            </w:pPr>
          </w:p>
        </w:tc>
        <w:tc>
          <w:tcPr>
            <w:tcW w:w="3402" w:type="dxa"/>
          </w:tcPr>
          <w:p w14:paraId="4A26E207" w14:textId="77777777" w:rsidR="008C3617" w:rsidRDefault="00D02CE4" w:rsidP="0078448F">
            <w:pPr>
              <w:jc w:val="both"/>
            </w:pPr>
            <w:r>
              <w:rPr>
                <w:i/>
              </w:rPr>
              <w:t>Herpes zoster</w:t>
            </w:r>
            <w:r>
              <w:t xml:space="preserve"> vakcina (esant galimybei)</w:t>
            </w:r>
          </w:p>
        </w:tc>
        <w:tc>
          <w:tcPr>
            <w:tcW w:w="4253" w:type="dxa"/>
            <w:tcBorders>
              <w:bottom w:val="single" w:sz="4" w:space="0" w:color="auto"/>
            </w:tcBorders>
          </w:tcPr>
          <w:p w14:paraId="50BA095F" w14:textId="4A588CA4" w:rsidR="008C3617" w:rsidRDefault="00D02CE4" w:rsidP="004145C6">
            <w:r>
              <w:t xml:space="preserve">1 dozė </w:t>
            </w:r>
            <w:r w:rsidR="00931E5E" w:rsidRPr="00931E5E">
              <w:rPr>
                <w:lang w:val="lt-LT"/>
              </w:rPr>
              <w:t>≥</w:t>
            </w:r>
            <w:r w:rsidR="00482B1D" w:rsidRPr="007D10CD">
              <w:t xml:space="preserve"> </w:t>
            </w:r>
            <w:r w:rsidRPr="007D10CD">
              <w:t>6</w:t>
            </w:r>
            <w:r>
              <w:t>0 me</w:t>
            </w:r>
            <w:r w:rsidR="00840B28">
              <w:t xml:space="preserve">tų ir tiems 50-59 metų amžiaus </w:t>
            </w:r>
            <w:r>
              <w:t xml:space="preserve">pacientams, kurie yra sirgę vėjaraupiais ar </w:t>
            </w:r>
            <w:r w:rsidR="00482B1D">
              <w:rPr>
                <w:i/>
              </w:rPr>
              <w:t>H</w:t>
            </w:r>
            <w:r w:rsidRPr="002831DA">
              <w:rPr>
                <w:i/>
              </w:rPr>
              <w:t>erpes</w:t>
            </w:r>
            <w:r>
              <w:t xml:space="preserve"> infekcija anamnezėje arba kuriems labor</w:t>
            </w:r>
            <w:r w:rsidR="006F6201">
              <w:t xml:space="preserve">atoriniais tyrimais nustatytas </w:t>
            </w:r>
            <w:r>
              <w:t xml:space="preserve">specifinis imunitetas ir jie nėra skiepyti vėjaraupių vakcina </w:t>
            </w:r>
            <w:r w:rsidR="00482B1D" w:rsidRPr="00C80E2C">
              <w:t xml:space="preserve">likus ne mažiau kaip </w:t>
            </w:r>
            <w:r w:rsidRPr="00C80E2C">
              <w:t>4</w:t>
            </w:r>
            <w:r w:rsidR="00C80E2C">
              <w:t xml:space="preserve"> savaitėms</w:t>
            </w:r>
            <w:r w:rsidRPr="00C80E2C">
              <w:t xml:space="preserve"> </w:t>
            </w:r>
            <w:r w:rsidR="00482B1D" w:rsidRPr="00C80E2C">
              <w:t>iki imunosupr</w:t>
            </w:r>
            <w:r w:rsidR="00482B1D">
              <w:t>esinio gydymo pradžios</w:t>
            </w:r>
            <w:r>
              <w:t xml:space="preserve"> arba gydomiems mažų dozių sisteminiais kortikosteroidais, kurių dozė ekvivalentiška prednizonolo &lt;</w:t>
            </w:r>
            <w:r w:rsidR="00482B1D">
              <w:t xml:space="preserve"> </w:t>
            </w:r>
            <w:r w:rsidR="00744AFE">
              <w:t xml:space="preserve">20 mg </w:t>
            </w:r>
            <w:r w:rsidR="00931E5E">
              <w:t>per parą</w:t>
            </w:r>
            <w:r>
              <w:t>.</w:t>
            </w:r>
          </w:p>
        </w:tc>
      </w:tr>
      <w:tr w:rsidR="008C3617" w14:paraId="4661A481" w14:textId="77777777">
        <w:trPr>
          <w:trHeight w:val="268"/>
        </w:trPr>
        <w:tc>
          <w:tcPr>
            <w:tcW w:w="3544" w:type="dxa"/>
            <w:vMerge/>
          </w:tcPr>
          <w:p w14:paraId="6E46D6B2" w14:textId="77777777" w:rsidR="008C3617" w:rsidRDefault="008C3617">
            <w:pPr>
              <w:jc w:val="both"/>
            </w:pPr>
          </w:p>
        </w:tc>
        <w:tc>
          <w:tcPr>
            <w:tcW w:w="3402" w:type="dxa"/>
          </w:tcPr>
          <w:p w14:paraId="2EA765D9" w14:textId="59FDCA2F" w:rsidR="008C3617" w:rsidRDefault="00D02CE4" w:rsidP="000619F5">
            <w:pPr>
              <w:jc w:val="both"/>
            </w:pPr>
            <w:r>
              <w:t>Td</w:t>
            </w:r>
            <w:r w:rsidR="00482B1D">
              <w:t xml:space="preserve"> arba </w:t>
            </w:r>
            <w:r>
              <w:t>Tdap vakcin</w:t>
            </w:r>
            <w:r w:rsidR="00482B1D">
              <w:t>a</w:t>
            </w:r>
          </w:p>
        </w:tc>
        <w:tc>
          <w:tcPr>
            <w:tcW w:w="4253" w:type="dxa"/>
            <w:tcBorders>
              <w:top w:val="single" w:sz="4" w:space="0" w:color="auto"/>
            </w:tcBorders>
          </w:tcPr>
          <w:p w14:paraId="66FB00FC" w14:textId="6057F4B4" w:rsidR="008C3617" w:rsidRDefault="00883C65" w:rsidP="00883C65">
            <w:r>
              <w:t xml:space="preserve">1 dozė kas 10 metų </w:t>
            </w:r>
            <w:r w:rsidRPr="00883C65">
              <w:t xml:space="preserve">(Td vakcina), </w:t>
            </w:r>
            <w:r w:rsidRPr="00883C65">
              <w:rPr>
                <w:lang w:val="lt-LT"/>
              </w:rPr>
              <w:t>vieną revakcinaciją Td vakcina pakeisti revakcinacija nuo kokliušo, difterijos ir stabligės (Tdap vakcina), esant galimybei.</w:t>
            </w:r>
            <w:r>
              <w:t xml:space="preserve"> </w:t>
            </w:r>
          </w:p>
        </w:tc>
      </w:tr>
      <w:tr w:rsidR="008C3617" w14:paraId="77E88DA6" w14:textId="77777777">
        <w:trPr>
          <w:trHeight w:val="906"/>
        </w:trPr>
        <w:tc>
          <w:tcPr>
            <w:tcW w:w="3544" w:type="dxa"/>
            <w:vMerge/>
          </w:tcPr>
          <w:p w14:paraId="2AF0C45A" w14:textId="77777777" w:rsidR="008C3617" w:rsidRDefault="008C3617">
            <w:pPr>
              <w:jc w:val="both"/>
            </w:pPr>
          </w:p>
        </w:tc>
        <w:tc>
          <w:tcPr>
            <w:tcW w:w="3402" w:type="dxa"/>
          </w:tcPr>
          <w:p w14:paraId="2A90F92F" w14:textId="77777777" w:rsidR="00683219" w:rsidRDefault="00D02CE4" w:rsidP="000619F5">
            <w:pPr>
              <w:jc w:val="both"/>
            </w:pPr>
            <w:r>
              <w:t xml:space="preserve">Žmogaus papilomos viruso </w:t>
            </w:r>
          </w:p>
          <w:p w14:paraId="71A98237" w14:textId="16B437AD" w:rsidR="008C3617" w:rsidRDefault="00D02CE4" w:rsidP="000619F5">
            <w:pPr>
              <w:jc w:val="both"/>
            </w:pPr>
            <w:r>
              <w:lastRenderedPageBreak/>
              <w:t>vakcina</w:t>
            </w:r>
          </w:p>
        </w:tc>
        <w:tc>
          <w:tcPr>
            <w:tcW w:w="4253" w:type="dxa"/>
          </w:tcPr>
          <w:p w14:paraId="0EF569CD" w14:textId="1490A425" w:rsidR="008C3617" w:rsidRDefault="00D02CE4" w:rsidP="000619F5">
            <w:pPr>
              <w:jc w:val="both"/>
            </w:pPr>
            <w:r>
              <w:lastRenderedPageBreak/>
              <w:t xml:space="preserve">Sistemine raudonąja vilklige sergančioms moterims 3 dozių kursas pagal vakcinų </w:t>
            </w:r>
            <w:r>
              <w:lastRenderedPageBreak/>
              <w:t>aprašus</w:t>
            </w:r>
            <w:r w:rsidR="000619F5">
              <w:t>.</w:t>
            </w:r>
          </w:p>
        </w:tc>
      </w:tr>
      <w:tr w:rsidR="008C3617" w14:paraId="304C39A2" w14:textId="77777777" w:rsidTr="0052244A">
        <w:trPr>
          <w:trHeight w:val="1741"/>
        </w:trPr>
        <w:tc>
          <w:tcPr>
            <w:tcW w:w="3544" w:type="dxa"/>
            <w:vMerge/>
          </w:tcPr>
          <w:p w14:paraId="2F8F11A4" w14:textId="77777777" w:rsidR="008C3617" w:rsidRDefault="008C3617">
            <w:pPr>
              <w:jc w:val="both"/>
            </w:pPr>
          </w:p>
        </w:tc>
        <w:tc>
          <w:tcPr>
            <w:tcW w:w="3402" w:type="dxa"/>
          </w:tcPr>
          <w:p w14:paraId="1EA48FA1" w14:textId="77777777" w:rsidR="008C3617" w:rsidRDefault="00D02CE4" w:rsidP="000619F5">
            <w:pPr>
              <w:jc w:val="both"/>
            </w:pPr>
            <w:r>
              <w:t>VHB vakcina</w:t>
            </w:r>
          </w:p>
        </w:tc>
        <w:tc>
          <w:tcPr>
            <w:tcW w:w="4253" w:type="dxa"/>
          </w:tcPr>
          <w:p w14:paraId="481C822A" w14:textId="77777777" w:rsidR="0052244A" w:rsidRDefault="00482B1D" w:rsidP="0052244A">
            <w:pPr>
              <w:jc w:val="both"/>
            </w:pPr>
            <w:r>
              <w:t>H</w:t>
            </w:r>
            <w:r w:rsidR="00096C94">
              <w:t>B</w:t>
            </w:r>
            <w:r>
              <w:t>sAg</w:t>
            </w:r>
            <w:r w:rsidR="00096C94">
              <w:t>, anti-HBc</w:t>
            </w:r>
            <w:r>
              <w:t xml:space="preserve"> ir anti-HBs neigiamiems asmenims 3 dozių po 20 µg kurs</w:t>
            </w:r>
            <w:r w:rsidR="000619F5">
              <w:t>as pagal schemą: 0, 1 ir 6 mėn</w:t>
            </w:r>
            <w:r w:rsidR="00B260DF">
              <w:t>esiai</w:t>
            </w:r>
            <w:r w:rsidR="000619F5">
              <w:t>.</w:t>
            </w:r>
          </w:p>
          <w:p w14:paraId="2A26DF2B" w14:textId="08BA59B5" w:rsidR="008C3617" w:rsidRDefault="00D02CE4" w:rsidP="0052244A">
            <w:pPr>
              <w:jc w:val="both"/>
            </w:pPr>
            <w:r>
              <w:t>Galimos kitos schemos pagal vakcinų aprašus.</w:t>
            </w:r>
          </w:p>
        </w:tc>
      </w:tr>
    </w:tbl>
    <w:p w14:paraId="774BBA7D" w14:textId="1A947FEA" w:rsidR="008C3617" w:rsidRDefault="008C3617">
      <w:pPr>
        <w:jc w:val="both"/>
      </w:pPr>
    </w:p>
    <w:p w14:paraId="2F3E47EB" w14:textId="77777777" w:rsidR="008C3617" w:rsidRDefault="00D02CE4">
      <w:pPr>
        <w:jc w:val="both"/>
      </w:pPr>
      <w:r w:rsidRPr="00A52D8F">
        <w:rPr>
          <w:b/>
        </w:rPr>
        <w:t>Paaiškinimai</w:t>
      </w:r>
      <w:r>
        <w:t>:</w:t>
      </w:r>
    </w:p>
    <w:p w14:paraId="0359DB9D" w14:textId="20AD3BEF" w:rsidR="008C3617" w:rsidRDefault="00D02CE4">
      <w:pPr>
        <w:jc w:val="both"/>
      </w:pPr>
      <w:r>
        <w:t>PCV13 – pneumokokinė</w:t>
      </w:r>
      <w:r w:rsidR="00096C94">
        <w:t xml:space="preserve"> </w:t>
      </w:r>
      <w:r>
        <w:t>polisacharidinė konjuguota 13-valentė vakcina</w:t>
      </w:r>
    </w:p>
    <w:p w14:paraId="294AD653" w14:textId="30E10030" w:rsidR="008C3617" w:rsidRDefault="00D02CE4">
      <w:pPr>
        <w:jc w:val="both"/>
      </w:pPr>
      <w:r>
        <w:t>PPSV23 – pneumokokinė</w:t>
      </w:r>
      <w:r w:rsidR="00096C94">
        <w:t xml:space="preserve"> </w:t>
      </w:r>
      <w:r>
        <w:t>polisacharidinė 23-valentė vakcina</w:t>
      </w:r>
    </w:p>
    <w:p w14:paraId="370D0226" w14:textId="2D246457" w:rsidR="008C3617" w:rsidRDefault="00D02CE4">
      <w:pPr>
        <w:jc w:val="both"/>
      </w:pPr>
      <w:r>
        <w:t xml:space="preserve">Td – </w:t>
      </w:r>
      <w:r w:rsidR="006F6201">
        <w:t xml:space="preserve">difterijos, stabligės toksoidų </w:t>
      </w:r>
      <w:r>
        <w:t>vakcina</w:t>
      </w:r>
    </w:p>
    <w:p w14:paraId="09183709" w14:textId="42D10C67" w:rsidR="008C3617" w:rsidRPr="00B0068D" w:rsidRDefault="00D02CE4">
      <w:pPr>
        <w:jc w:val="both"/>
      </w:pPr>
      <w:r w:rsidRPr="00B0068D">
        <w:t xml:space="preserve">Tdap – difterijos, stabligės toksoidų ir </w:t>
      </w:r>
      <w:r w:rsidR="00096C94" w:rsidRPr="00B0068D">
        <w:t xml:space="preserve">neląstelinio </w:t>
      </w:r>
      <w:r w:rsidRPr="00B0068D">
        <w:t>kokliušo vakcina</w:t>
      </w:r>
    </w:p>
    <w:p w14:paraId="010415D6" w14:textId="646306FA" w:rsidR="008C3617" w:rsidRPr="00B0068D" w:rsidRDefault="00D02CE4">
      <w:pPr>
        <w:jc w:val="both"/>
      </w:pPr>
      <w:r w:rsidRPr="00B0068D">
        <w:t>VHB – virusini</w:t>
      </w:r>
      <w:r w:rsidR="00096C94" w:rsidRPr="00B0068D">
        <w:t>o</w:t>
      </w:r>
      <w:r w:rsidRPr="00B0068D">
        <w:t xml:space="preserve"> hepatit</w:t>
      </w:r>
      <w:r w:rsidR="00096C94" w:rsidRPr="00B0068D">
        <w:t>o</w:t>
      </w:r>
      <w:r w:rsidRPr="00B0068D">
        <w:t xml:space="preserve"> B </w:t>
      </w:r>
      <w:r w:rsidR="00096C94" w:rsidRPr="00B0068D">
        <w:t>vakcina</w:t>
      </w:r>
    </w:p>
    <w:p w14:paraId="098362AD" w14:textId="77777777" w:rsidR="00B260DF" w:rsidRPr="00B0068D" w:rsidRDefault="00B260DF" w:rsidP="00B260DF">
      <w:pPr>
        <w:spacing w:after="120"/>
      </w:pPr>
      <w:r w:rsidRPr="00B0068D">
        <w:t>HBsAg – hepatito B viruso paviršiaus antigenas</w:t>
      </w:r>
    </w:p>
    <w:p w14:paraId="106D48CA" w14:textId="77777777" w:rsidR="00B260DF" w:rsidRPr="00B0068D" w:rsidRDefault="00B260DF" w:rsidP="00B260DF">
      <w:pPr>
        <w:spacing w:after="120"/>
      </w:pPr>
      <w:r w:rsidRPr="00B0068D">
        <w:t>Anti-HBc – antikūnai prieš hepatito B viruso šerdinį antigeną</w:t>
      </w:r>
    </w:p>
    <w:p w14:paraId="59400EC4" w14:textId="4B8E1ADD" w:rsidR="00B260DF" w:rsidRDefault="00B260DF" w:rsidP="00B260DF">
      <w:pPr>
        <w:jc w:val="both"/>
      </w:pPr>
      <w:r w:rsidRPr="00B0068D">
        <w:t>Anti-HBs – antikūnai prieš hepatito B viruso paviršiaus antigeną</w:t>
      </w:r>
    </w:p>
    <w:p w14:paraId="14C663C0" w14:textId="77777777" w:rsidR="008C3617" w:rsidRPr="00A52D8F" w:rsidRDefault="00D02CE4">
      <w:pPr>
        <w:jc w:val="both"/>
        <w:rPr>
          <w:b/>
        </w:rPr>
      </w:pPr>
      <w:r w:rsidRPr="00A52D8F">
        <w:rPr>
          <w:b/>
        </w:rPr>
        <w:t>Literatūros šaltiniai:</w:t>
      </w:r>
    </w:p>
    <w:p w14:paraId="19ED684A" w14:textId="7951E438" w:rsidR="008C3617" w:rsidRDefault="00D02CE4">
      <w:pPr>
        <w:numPr>
          <w:ilvl w:val="0"/>
          <w:numId w:val="4"/>
        </w:numPr>
        <w:jc w:val="both"/>
      </w:pPr>
      <w:r>
        <w:t>EULAR recommendations for vaccination in adult patients with autoimmune inflammatory rheumatic disease. Ann Rheum Dis</w:t>
      </w:r>
      <w:r w:rsidR="000619F5">
        <w:t>.</w:t>
      </w:r>
      <w:r>
        <w:t xml:space="preserve"> 2011;</w:t>
      </w:r>
      <w:r w:rsidR="000619F5">
        <w:t xml:space="preserve"> </w:t>
      </w:r>
      <w:r>
        <w:t>70:</w:t>
      </w:r>
      <w:r w:rsidR="000619F5">
        <w:t xml:space="preserve"> </w:t>
      </w:r>
      <w:r>
        <w:t>414-422.</w:t>
      </w:r>
    </w:p>
    <w:p w14:paraId="7CB21B7B" w14:textId="6ADCBD2F" w:rsidR="003E590B" w:rsidRPr="00EE7F44" w:rsidRDefault="00D02CE4" w:rsidP="00193CE2">
      <w:pPr>
        <w:numPr>
          <w:ilvl w:val="0"/>
          <w:numId w:val="4"/>
        </w:numPr>
        <w:jc w:val="both"/>
        <w:rPr>
          <w:sz w:val="24"/>
          <w:szCs w:val="24"/>
        </w:rPr>
      </w:pPr>
      <w:r w:rsidRPr="00193CE2">
        <w:t>Rubin et al. 2013 IDSA Clinical Practice Guideline for Vaccination of the Immunocompromised Host. Clinical infectious Diseases</w:t>
      </w:r>
      <w:r w:rsidR="00096C94" w:rsidRPr="00193CE2">
        <w:t xml:space="preserve">. </w:t>
      </w:r>
      <w:r w:rsidRPr="00193CE2">
        <w:t>2014</w:t>
      </w:r>
      <w:r w:rsidR="00096C94" w:rsidRPr="00193CE2">
        <w:t>;</w:t>
      </w:r>
      <w:r w:rsidRPr="00193CE2">
        <w:t xml:space="preserve"> 58 (3)</w:t>
      </w:r>
      <w:r w:rsidR="00096C94" w:rsidRPr="00193CE2">
        <w:t>:</w:t>
      </w:r>
      <w:r w:rsidRPr="00193CE2">
        <w:t xml:space="preserve"> 309-318.</w:t>
      </w:r>
    </w:p>
    <w:p w14:paraId="2BB9722F" w14:textId="2CD0492E" w:rsidR="00EE7F44" w:rsidRPr="0004367C" w:rsidRDefault="00EE7F44" w:rsidP="00193CE2">
      <w:pPr>
        <w:numPr>
          <w:ilvl w:val="0"/>
          <w:numId w:val="4"/>
        </w:numPr>
        <w:jc w:val="both"/>
        <w:rPr>
          <w:color w:val="000000" w:themeColor="text1"/>
          <w:sz w:val="24"/>
          <w:szCs w:val="24"/>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p>
    <w:p w14:paraId="57D53B1D" w14:textId="77777777" w:rsidR="003E590B" w:rsidRDefault="003E590B">
      <w:pPr>
        <w:jc w:val="both"/>
        <w:rPr>
          <w:b/>
          <w:sz w:val="24"/>
          <w:szCs w:val="24"/>
        </w:rPr>
      </w:pPr>
    </w:p>
    <w:p w14:paraId="2A49A413" w14:textId="77777777" w:rsidR="003E590B" w:rsidRDefault="003E590B">
      <w:pPr>
        <w:jc w:val="both"/>
        <w:rPr>
          <w:b/>
          <w:sz w:val="24"/>
          <w:szCs w:val="24"/>
        </w:rPr>
      </w:pPr>
    </w:p>
    <w:p w14:paraId="7B7D527D" w14:textId="77777777" w:rsidR="00917012" w:rsidRDefault="00917012">
      <w:pPr>
        <w:jc w:val="both"/>
        <w:rPr>
          <w:b/>
          <w:sz w:val="24"/>
          <w:szCs w:val="24"/>
        </w:rPr>
      </w:pPr>
    </w:p>
    <w:p w14:paraId="4B108E70" w14:textId="77777777" w:rsidR="00B729DE" w:rsidRDefault="00B729DE" w:rsidP="00B729DE">
      <w:pPr>
        <w:pStyle w:val="ListParagraph"/>
        <w:jc w:val="both"/>
        <w:rPr>
          <w:b/>
          <w:sz w:val="24"/>
          <w:szCs w:val="24"/>
        </w:rPr>
      </w:pPr>
    </w:p>
    <w:p w14:paraId="55353767" w14:textId="77777777" w:rsidR="00B729DE" w:rsidRDefault="00B729DE" w:rsidP="00B729DE">
      <w:pPr>
        <w:pStyle w:val="ListParagraph"/>
        <w:jc w:val="both"/>
        <w:rPr>
          <w:b/>
          <w:sz w:val="24"/>
          <w:szCs w:val="24"/>
        </w:rPr>
      </w:pPr>
    </w:p>
    <w:p w14:paraId="759B46A7" w14:textId="77777777" w:rsidR="00B729DE" w:rsidRPr="00B729DE" w:rsidRDefault="00B729DE" w:rsidP="00B729DE">
      <w:pPr>
        <w:ind w:left="360"/>
        <w:jc w:val="both"/>
        <w:rPr>
          <w:b/>
          <w:sz w:val="24"/>
          <w:szCs w:val="24"/>
        </w:rPr>
      </w:pPr>
    </w:p>
    <w:p w14:paraId="6300C6E5" w14:textId="7B461C30" w:rsidR="008C3617" w:rsidRPr="00BB15A1" w:rsidRDefault="00BB15A1" w:rsidP="00C84CC9">
      <w:pPr>
        <w:pStyle w:val="ListParagraph"/>
        <w:numPr>
          <w:ilvl w:val="0"/>
          <w:numId w:val="2"/>
        </w:numPr>
        <w:jc w:val="both"/>
        <w:rPr>
          <w:b/>
          <w:sz w:val="24"/>
          <w:szCs w:val="24"/>
        </w:rPr>
      </w:pPr>
      <w:r w:rsidRPr="00BB15A1">
        <w:rPr>
          <w:b/>
          <w:sz w:val="24"/>
          <w:szCs w:val="24"/>
        </w:rPr>
        <w:lastRenderedPageBreak/>
        <w:t>Pacientų, gydomų</w:t>
      </w:r>
      <w:r w:rsidR="00D02CE4" w:rsidRPr="00BB15A1">
        <w:rPr>
          <w:b/>
          <w:sz w:val="24"/>
          <w:szCs w:val="24"/>
        </w:rPr>
        <w:t xml:space="preserve"> imunosupresiniais vaistais</w:t>
      </w:r>
      <w:r w:rsidRPr="00BB15A1">
        <w:rPr>
          <w:b/>
          <w:sz w:val="24"/>
          <w:szCs w:val="24"/>
        </w:rPr>
        <w:t>,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4395"/>
      </w:tblGrid>
      <w:tr w:rsidR="008C3617" w14:paraId="5AB956C4" w14:textId="77777777">
        <w:tc>
          <w:tcPr>
            <w:tcW w:w="3544" w:type="dxa"/>
          </w:tcPr>
          <w:p w14:paraId="2FDB241F" w14:textId="77777777" w:rsidR="008C3617" w:rsidRDefault="00D02CE4">
            <w:pPr>
              <w:spacing w:after="0" w:line="240" w:lineRule="auto"/>
              <w:rPr>
                <w:b/>
              </w:rPr>
            </w:pPr>
            <w:r>
              <w:rPr>
                <w:b/>
              </w:rPr>
              <w:t>Rizikos ligos/būklės</w:t>
            </w:r>
          </w:p>
        </w:tc>
        <w:tc>
          <w:tcPr>
            <w:tcW w:w="3260" w:type="dxa"/>
          </w:tcPr>
          <w:p w14:paraId="05058671" w14:textId="77777777" w:rsidR="008C3617" w:rsidRDefault="00D02CE4">
            <w:pPr>
              <w:spacing w:after="0" w:line="240" w:lineRule="auto"/>
              <w:rPr>
                <w:b/>
              </w:rPr>
            </w:pPr>
            <w:r>
              <w:rPr>
                <w:b/>
              </w:rPr>
              <w:t>Rekomenduojamos vakcinos</w:t>
            </w:r>
          </w:p>
        </w:tc>
        <w:tc>
          <w:tcPr>
            <w:tcW w:w="4395" w:type="dxa"/>
          </w:tcPr>
          <w:p w14:paraId="400353F9" w14:textId="77777777" w:rsidR="008C3617" w:rsidRDefault="00D02CE4">
            <w:pPr>
              <w:spacing w:after="0" w:line="240" w:lineRule="auto"/>
              <w:rPr>
                <w:b/>
              </w:rPr>
            </w:pPr>
            <w:r>
              <w:rPr>
                <w:b/>
              </w:rPr>
              <w:t>Pastabos dėl vakcinų vartojimo</w:t>
            </w:r>
          </w:p>
        </w:tc>
      </w:tr>
      <w:tr w:rsidR="000C5D4C" w14:paraId="37FEEC3B" w14:textId="77777777">
        <w:trPr>
          <w:trHeight w:val="369"/>
        </w:trPr>
        <w:tc>
          <w:tcPr>
            <w:tcW w:w="3544" w:type="dxa"/>
            <w:vMerge w:val="restart"/>
          </w:tcPr>
          <w:p w14:paraId="1AC892C9" w14:textId="77777777" w:rsidR="000C5D4C" w:rsidRDefault="000C5D4C" w:rsidP="0024777E">
            <w:pPr>
              <w:spacing w:after="0" w:line="240" w:lineRule="auto"/>
              <w:rPr>
                <w:b/>
                <w:color w:val="000000"/>
              </w:rPr>
            </w:pPr>
            <w:r>
              <w:rPr>
                <w:b/>
                <w:color w:val="000000"/>
              </w:rPr>
              <w:t xml:space="preserve">Intensyvi imunosupresinė </w:t>
            </w:r>
          </w:p>
          <w:p w14:paraId="134278D8" w14:textId="1BB3DF92" w:rsidR="000C5D4C" w:rsidRDefault="000C5D4C" w:rsidP="0024777E">
            <w:pPr>
              <w:spacing w:after="0" w:line="240" w:lineRule="auto"/>
              <w:rPr>
                <w:b/>
                <w:color w:val="000000"/>
              </w:rPr>
            </w:pPr>
            <w:r>
              <w:rPr>
                <w:b/>
                <w:color w:val="000000"/>
              </w:rPr>
              <w:t>terapija:</w:t>
            </w:r>
          </w:p>
          <w:p w14:paraId="5E94A081" w14:textId="77777777" w:rsidR="000C5D4C" w:rsidRDefault="000C5D4C" w:rsidP="0024777E">
            <w:pPr>
              <w:spacing w:after="0" w:line="240" w:lineRule="auto"/>
              <w:rPr>
                <w:color w:val="000000"/>
              </w:rPr>
            </w:pPr>
            <w:r>
              <w:rPr>
                <w:color w:val="000000"/>
              </w:rPr>
              <w:t>vėžio chemoterapija,</w:t>
            </w:r>
            <w:r w:rsidRPr="003445A4">
              <w:rPr>
                <w:color w:val="000000"/>
              </w:rPr>
              <w:t xml:space="preserve"> </w:t>
            </w:r>
            <w:r w:rsidRPr="0024777E">
              <w:rPr>
                <w:color w:val="000000"/>
                <w:lang w:val="lt-LT"/>
              </w:rPr>
              <w:t>≥</w:t>
            </w:r>
            <w:r>
              <w:rPr>
                <w:color w:val="000000"/>
              </w:rPr>
              <w:t xml:space="preserve">14 </w:t>
            </w:r>
          </w:p>
          <w:p w14:paraId="1CD99A66" w14:textId="77777777" w:rsidR="000C5D4C" w:rsidRDefault="000C5D4C" w:rsidP="0024777E">
            <w:pPr>
              <w:spacing w:after="0" w:line="240" w:lineRule="auto"/>
              <w:rPr>
                <w:color w:val="000000"/>
              </w:rPr>
            </w:pPr>
            <w:r>
              <w:rPr>
                <w:color w:val="000000"/>
              </w:rPr>
              <w:t>parų skiriami sisteminiai kortikosteroidai, kurių dozė ekvivalentiška</w:t>
            </w:r>
            <w:r w:rsidRPr="003445A4">
              <w:rPr>
                <w:color w:val="000000"/>
              </w:rPr>
              <w:t xml:space="preserve"> </w:t>
            </w:r>
            <w:r w:rsidRPr="0024777E">
              <w:rPr>
                <w:color w:val="000000"/>
                <w:lang w:val="lt-LT"/>
              </w:rPr>
              <w:t>≥</w:t>
            </w:r>
            <w:r>
              <w:rPr>
                <w:color w:val="000000"/>
              </w:rPr>
              <w:t>20 mg per</w:t>
            </w:r>
          </w:p>
          <w:p w14:paraId="4E7F11BE" w14:textId="77777777" w:rsidR="000C5D4C" w:rsidRDefault="000C5D4C" w:rsidP="0024777E">
            <w:pPr>
              <w:spacing w:after="0" w:line="240" w:lineRule="auto"/>
              <w:rPr>
                <w:color w:val="000000"/>
              </w:rPr>
            </w:pPr>
            <w:r>
              <w:rPr>
                <w:color w:val="000000"/>
              </w:rPr>
              <w:t xml:space="preserve"> parą prednizonolo, biologiniai imunomoduliatoriai, tokie</w:t>
            </w:r>
          </w:p>
          <w:p w14:paraId="14B2ABC2" w14:textId="7BD886FA" w:rsidR="000C5D4C" w:rsidRPr="00361CDF" w:rsidRDefault="000C5D4C" w:rsidP="0024777E">
            <w:pPr>
              <w:spacing w:after="0" w:line="240" w:lineRule="auto"/>
              <w:rPr>
                <w:color w:val="000000"/>
              </w:rPr>
            </w:pPr>
            <w:r>
              <w:rPr>
                <w:color w:val="000000"/>
              </w:rPr>
              <w:t xml:space="preserve"> </w:t>
            </w:r>
            <w:proofErr w:type="gramStart"/>
            <w:r>
              <w:rPr>
                <w:color w:val="000000"/>
              </w:rPr>
              <w:t>kaip</w:t>
            </w:r>
            <w:proofErr w:type="gramEnd"/>
            <w:r>
              <w:rPr>
                <w:color w:val="000000"/>
              </w:rPr>
              <w:t xml:space="preserve"> TNF-α blokatoriai ar rituksimabas.</w:t>
            </w:r>
          </w:p>
        </w:tc>
        <w:tc>
          <w:tcPr>
            <w:tcW w:w="3260" w:type="dxa"/>
          </w:tcPr>
          <w:p w14:paraId="2573FC68" w14:textId="37942F82" w:rsidR="000C5D4C" w:rsidRDefault="000C5D4C" w:rsidP="003445A4">
            <w:pPr>
              <w:spacing w:after="0" w:line="240" w:lineRule="auto"/>
              <w:jc w:val="both"/>
            </w:pPr>
            <w:r>
              <w:t>Sezoninė gripo vakcina</w:t>
            </w:r>
          </w:p>
        </w:tc>
        <w:tc>
          <w:tcPr>
            <w:tcW w:w="4395" w:type="dxa"/>
          </w:tcPr>
          <w:p w14:paraId="6DA6EDD5" w14:textId="06B45F6F" w:rsidR="000C5D4C" w:rsidRDefault="000C5D4C" w:rsidP="003445A4">
            <w:pPr>
              <w:spacing w:after="0" w:line="240" w:lineRule="auto"/>
              <w:jc w:val="both"/>
            </w:pPr>
            <w:r>
              <w:t xml:space="preserve">2 dozės su 4 savaičių intervalu </w:t>
            </w:r>
            <w:r w:rsidRPr="002C0327">
              <w:t>kasmet</w:t>
            </w:r>
            <w:r>
              <w:t xml:space="preserve"> prieš gripo sezoną.</w:t>
            </w:r>
          </w:p>
        </w:tc>
      </w:tr>
      <w:tr w:rsidR="000C5D4C" w14:paraId="63E634D3" w14:textId="77777777" w:rsidTr="004A5CFD">
        <w:trPr>
          <w:trHeight w:val="2645"/>
        </w:trPr>
        <w:tc>
          <w:tcPr>
            <w:tcW w:w="3544" w:type="dxa"/>
            <w:vMerge/>
          </w:tcPr>
          <w:p w14:paraId="49B963FB" w14:textId="77777777" w:rsidR="000C5D4C" w:rsidRDefault="000C5D4C" w:rsidP="003445A4">
            <w:pPr>
              <w:spacing w:after="0" w:line="240" w:lineRule="auto"/>
              <w:jc w:val="both"/>
            </w:pPr>
          </w:p>
        </w:tc>
        <w:tc>
          <w:tcPr>
            <w:tcW w:w="3260" w:type="dxa"/>
          </w:tcPr>
          <w:p w14:paraId="683D7823" w14:textId="4AEF5495" w:rsidR="000C5D4C" w:rsidRDefault="000C5D4C" w:rsidP="003445A4">
            <w:pPr>
              <w:spacing w:after="0" w:line="240" w:lineRule="auto"/>
              <w:jc w:val="both"/>
            </w:pPr>
            <w:r>
              <w:t>Pneumokokinė vakcina</w:t>
            </w:r>
          </w:p>
        </w:tc>
        <w:tc>
          <w:tcPr>
            <w:tcW w:w="4395" w:type="dxa"/>
            <w:tcBorders>
              <w:bottom w:val="single" w:sz="4" w:space="0" w:color="auto"/>
            </w:tcBorders>
          </w:tcPr>
          <w:p w14:paraId="1C9C0053" w14:textId="77777777" w:rsidR="000C5D4C" w:rsidRPr="00E43E2B" w:rsidRDefault="000C5D4C" w:rsidP="00E43E2B">
            <w:pPr>
              <w:spacing w:after="0" w:line="240" w:lineRule="auto"/>
              <w:rPr>
                <w:lang w:val="lt-LT"/>
              </w:rPr>
            </w:pPr>
            <w:r w:rsidRPr="00E43E2B">
              <w:rPr>
                <w:lang w:val="lt-LT"/>
              </w:rPr>
              <w:t>Asmenys, kurie anksčiau nebuvo skiepyti pneumokokine vakcina (PKV13 ar PPSV23): 1 dozė PKV13.</w:t>
            </w:r>
          </w:p>
          <w:p w14:paraId="1936BC65" w14:textId="168A03F1" w:rsidR="000C5D4C" w:rsidRPr="000C5D4C" w:rsidRDefault="000C5D4C" w:rsidP="00E43E2B">
            <w:pPr>
              <w:rPr>
                <w:color w:val="FF0000"/>
              </w:rPr>
            </w:pPr>
            <w:r w:rsidRPr="00E43E2B">
              <w:rPr>
                <w:lang w:val="lt-LT"/>
              </w:rPr>
              <w:t>Asmenys, kurie anksčiau buvo skiepyti PPSV23, bet nebuvo skiepyti PKV13: papildomai turėtų būti paskiepyti PKV13 praėju</w:t>
            </w:r>
            <w:r>
              <w:rPr>
                <w:lang w:val="lt-LT"/>
              </w:rPr>
              <w:t>s mažiausiai 1 metams po PPSV23</w:t>
            </w:r>
            <w:r>
              <w:t>. Vakcina rekomenduojama skiepyti iki imunosupresinio gydymo pradžios likus ne mažiau kaip 2 savaitėms.</w:t>
            </w:r>
          </w:p>
        </w:tc>
      </w:tr>
      <w:tr w:rsidR="0004367C" w:rsidRPr="0004367C" w14:paraId="5AF729BD" w14:textId="77777777">
        <w:trPr>
          <w:trHeight w:val="1647"/>
        </w:trPr>
        <w:tc>
          <w:tcPr>
            <w:tcW w:w="3544" w:type="dxa"/>
            <w:vMerge/>
          </w:tcPr>
          <w:p w14:paraId="10B1F8CC" w14:textId="77777777" w:rsidR="000C5D4C" w:rsidRDefault="000C5D4C" w:rsidP="003445A4">
            <w:pPr>
              <w:spacing w:after="0" w:line="240" w:lineRule="auto"/>
              <w:jc w:val="both"/>
            </w:pPr>
          </w:p>
        </w:tc>
        <w:tc>
          <w:tcPr>
            <w:tcW w:w="3260" w:type="dxa"/>
            <w:tcBorders>
              <w:bottom w:val="single" w:sz="4" w:space="0" w:color="auto"/>
            </w:tcBorders>
          </w:tcPr>
          <w:p w14:paraId="16A2580B" w14:textId="77777777" w:rsidR="000C5D4C" w:rsidRDefault="000C5D4C" w:rsidP="003445A4">
            <w:pPr>
              <w:jc w:val="both"/>
            </w:pPr>
          </w:p>
        </w:tc>
        <w:tc>
          <w:tcPr>
            <w:tcW w:w="4395" w:type="dxa"/>
            <w:tcBorders>
              <w:bottom w:val="single" w:sz="4" w:space="0" w:color="auto"/>
            </w:tcBorders>
          </w:tcPr>
          <w:p w14:paraId="6D185EBB" w14:textId="106890DC" w:rsidR="000C5D4C" w:rsidRPr="0004367C" w:rsidRDefault="000C5D4C" w:rsidP="00E43E2B">
            <w:pPr>
              <w:rPr>
                <w:color w:val="000000" w:themeColor="text1"/>
                <w:lang w:val="lt-LT"/>
              </w:rPr>
            </w:pPr>
            <w:r w:rsidRPr="0004367C">
              <w:rPr>
                <w:color w:val="000000" w:themeColor="text1"/>
              </w:rPr>
              <w:t>3 vakcinos dozės: tarp 1-os ir 2-os vakcinos dozių rekomenduojamas 1-3 mėnesių intervalas, tarp 2-os ir 3-ios vakcinos dozių rekomenduojamas 5-12 arba 9-12 (priklausomai nuo vakcinos gamintojo) mėnesių intervalas. Revakcinacija kas 3 metai.</w:t>
            </w:r>
          </w:p>
        </w:tc>
      </w:tr>
      <w:tr w:rsidR="008C3617" w14:paraId="25A96E0D" w14:textId="77777777">
        <w:trPr>
          <w:trHeight w:val="376"/>
        </w:trPr>
        <w:tc>
          <w:tcPr>
            <w:tcW w:w="3544" w:type="dxa"/>
            <w:vMerge w:val="restart"/>
          </w:tcPr>
          <w:p w14:paraId="11855D18" w14:textId="77777777" w:rsidR="008C3617" w:rsidRDefault="00D02CE4" w:rsidP="00683219">
            <w:pPr>
              <w:spacing w:after="0" w:line="240" w:lineRule="auto"/>
              <w:rPr>
                <w:b/>
              </w:rPr>
            </w:pPr>
            <w:r>
              <w:rPr>
                <w:b/>
              </w:rPr>
              <w:t>Mažų dozių imunosupresinė terapija:</w:t>
            </w:r>
          </w:p>
          <w:p w14:paraId="3CBF26AC" w14:textId="77777777" w:rsidR="00683219" w:rsidRDefault="00D02CE4" w:rsidP="0024777E">
            <w:pPr>
              <w:spacing w:after="0" w:line="240" w:lineRule="auto"/>
            </w:pPr>
            <w:r>
              <w:t>sisteminiai kortikosteroidai, kurių dozė ekvivalentiška &lt;</w:t>
            </w:r>
            <w:r w:rsidR="002F36BC">
              <w:t xml:space="preserve"> </w:t>
            </w:r>
            <w:r>
              <w:t>20</w:t>
            </w:r>
            <w:r w:rsidR="00127E1B">
              <w:t xml:space="preserve"> </w:t>
            </w:r>
            <w:r w:rsidR="00B02A93">
              <w:t>mg per</w:t>
            </w:r>
          </w:p>
          <w:p w14:paraId="44511E69" w14:textId="0C3B6616" w:rsidR="008C3617" w:rsidRDefault="00B02A93" w:rsidP="0024777E">
            <w:pPr>
              <w:spacing w:after="0" w:line="240" w:lineRule="auto"/>
            </w:pPr>
            <w:r>
              <w:t xml:space="preserve"> parą</w:t>
            </w:r>
            <w:r w:rsidR="0024777E">
              <w:t xml:space="preserve"> prednizonolo</w:t>
            </w:r>
            <w:r w:rsidR="002F36BC" w:rsidRPr="00127E1B">
              <w:t xml:space="preserve"> </w:t>
            </w:r>
            <w:r w:rsidR="0024777E" w:rsidRPr="0024777E">
              <w:rPr>
                <w:lang w:val="lt-LT"/>
              </w:rPr>
              <w:t>≥</w:t>
            </w:r>
            <w:r w:rsidR="00D02CE4" w:rsidRPr="00127E1B">
              <w:t>1</w:t>
            </w:r>
            <w:r w:rsidR="00D02CE4">
              <w:t>4 parų arba kurie vartojami alternatyviu režimu,</w:t>
            </w:r>
          </w:p>
          <w:p w14:paraId="6925C4EA" w14:textId="77777777" w:rsidR="00683219" w:rsidRDefault="00D02CE4" w:rsidP="0024777E">
            <w:pPr>
              <w:spacing w:after="0" w:line="240" w:lineRule="auto"/>
            </w:pPr>
            <w:r>
              <w:t>metotre</w:t>
            </w:r>
            <w:r w:rsidR="002F36BC">
              <w:t>ks</w:t>
            </w:r>
            <w:r w:rsidR="0024777E">
              <w:t>atas</w:t>
            </w:r>
            <w:r w:rsidR="002F36BC" w:rsidRPr="00127E1B">
              <w:t xml:space="preserve"> </w:t>
            </w:r>
            <w:r w:rsidR="0024777E" w:rsidRPr="0024777E">
              <w:rPr>
                <w:lang w:val="lt-LT"/>
              </w:rPr>
              <w:t>≤</w:t>
            </w:r>
            <w:r w:rsidR="0024777E">
              <w:rPr>
                <w:lang w:val="lt-LT"/>
              </w:rPr>
              <w:t xml:space="preserve"> </w:t>
            </w:r>
            <w:r w:rsidR="00B02A93">
              <w:t>0,4 mg/kg per savaitę</w:t>
            </w:r>
            <w:r>
              <w:t>,</w:t>
            </w:r>
            <w:r w:rsidR="00683219">
              <w:t xml:space="preserve"> </w:t>
            </w:r>
            <w:r>
              <w:t>azatioprinas &lt;</w:t>
            </w:r>
            <w:r w:rsidR="002F36BC">
              <w:t xml:space="preserve"> </w:t>
            </w:r>
            <w:r w:rsidR="00B02A93">
              <w:t xml:space="preserve">3 mg/kg </w:t>
            </w:r>
          </w:p>
          <w:p w14:paraId="659F89AC" w14:textId="77777777" w:rsidR="00683219" w:rsidRDefault="00B02A93" w:rsidP="0024777E">
            <w:pPr>
              <w:spacing w:after="0" w:line="240" w:lineRule="auto"/>
            </w:pPr>
            <w:r>
              <w:t>per parą</w:t>
            </w:r>
            <w:r w:rsidR="00D02CE4">
              <w:t>,</w:t>
            </w:r>
            <w:r w:rsidR="00683219">
              <w:t xml:space="preserve"> </w:t>
            </w:r>
            <w:r w:rsidR="00D02CE4">
              <w:t xml:space="preserve">6-merkaptopurinas </w:t>
            </w:r>
          </w:p>
          <w:p w14:paraId="249534E8" w14:textId="48F41534" w:rsidR="008C3617" w:rsidRDefault="00D02CE4" w:rsidP="00683219">
            <w:pPr>
              <w:spacing w:after="0" w:line="240" w:lineRule="auto"/>
            </w:pPr>
            <w:r>
              <w:t>&lt;</w:t>
            </w:r>
            <w:r w:rsidR="002F36BC">
              <w:t xml:space="preserve"> </w:t>
            </w:r>
            <w:r w:rsidR="00B02A93">
              <w:t>1,5 mg/kg per</w:t>
            </w:r>
            <w:r w:rsidR="00127E1B">
              <w:t xml:space="preserve"> </w:t>
            </w:r>
            <w:r w:rsidR="00B02A93">
              <w:t>parą</w:t>
            </w:r>
            <w:r>
              <w:t>.</w:t>
            </w:r>
            <w:r w:rsidR="00683219">
              <w:t xml:space="preserve"> </w:t>
            </w:r>
            <w:r w:rsidR="00C77E39">
              <w:t>Visomis išvardintomis vakcinomis</w:t>
            </w:r>
            <w:r>
              <w:t xml:space="preserve"> </w:t>
            </w:r>
            <w:r w:rsidR="00C77E39">
              <w:t xml:space="preserve">galima </w:t>
            </w:r>
            <w:r>
              <w:t xml:space="preserve">skiepyti </w:t>
            </w:r>
            <w:r w:rsidR="002F36BC">
              <w:t xml:space="preserve">minėto imunosupresinio </w:t>
            </w:r>
            <w:r w:rsidR="00C77E39">
              <w:t>gydymo metu</w:t>
            </w:r>
            <w:r>
              <w:t>.</w:t>
            </w:r>
          </w:p>
        </w:tc>
        <w:tc>
          <w:tcPr>
            <w:tcW w:w="3260" w:type="dxa"/>
          </w:tcPr>
          <w:p w14:paraId="0B1B71CA" w14:textId="3E0665B5" w:rsidR="008C3617" w:rsidRDefault="00D02CE4" w:rsidP="003445A4">
            <w:pPr>
              <w:spacing w:after="0" w:line="240" w:lineRule="auto"/>
              <w:jc w:val="both"/>
            </w:pPr>
            <w:r>
              <w:t>Sezoninė gripo</w:t>
            </w:r>
            <w:r w:rsidR="002F36BC">
              <w:t xml:space="preserve"> vakcina</w:t>
            </w:r>
          </w:p>
        </w:tc>
        <w:tc>
          <w:tcPr>
            <w:tcW w:w="4395" w:type="dxa"/>
          </w:tcPr>
          <w:p w14:paraId="36E90D21" w14:textId="03F78BF4" w:rsidR="008C3617" w:rsidRDefault="002C0327" w:rsidP="003445A4">
            <w:pPr>
              <w:spacing w:after="0" w:line="240" w:lineRule="auto"/>
              <w:jc w:val="both"/>
            </w:pPr>
            <w:r>
              <w:t xml:space="preserve">1 dozė </w:t>
            </w:r>
            <w:r w:rsidRPr="002C0327">
              <w:t>kasmet</w:t>
            </w:r>
            <w:r w:rsidR="00B260DF">
              <w:t xml:space="preserve"> prieš gripo sezoną</w:t>
            </w:r>
            <w:r w:rsidR="00D02CE4">
              <w:t>.</w:t>
            </w:r>
          </w:p>
        </w:tc>
      </w:tr>
      <w:tr w:rsidR="008C3617" w14:paraId="19AE2B79" w14:textId="77777777">
        <w:trPr>
          <w:trHeight w:val="420"/>
        </w:trPr>
        <w:tc>
          <w:tcPr>
            <w:tcW w:w="3544" w:type="dxa"/>
            <w:vMerge/>
          </w:tcPr>
          <w:p w14:paraId="6FEFB200" w14:textId="77777777" w:rsidR="008C3617" w:rsidRDefault="008C3617" w:rsidP="003445A4">
            <w:pPr>
              <w:spacing w:after="0" w:line="240" w:lineRule="auto"/>
              <w:jc w:val="both"/>
            </w:pPr>
          </w:p>
        </w:tc>
        <w:tc>
          <w:tcPr>
            <w:tcW w:w="3260" w:type="dxa"/>
          </w:tcPr>
          <w:p w14:paraId="598C9C90" w14:textId="1678AB32" w:rsidR="008C3617" w:rsidRDefault="00D02CE4" w:rsidP="003445A4">
            <w:pPr>
              <w:spacing w:after="0" w:line="240" w:lineRule="auto"/>
              <w:jc w:val="both"/>
            </w:pPr>
            <w:r>
              <w:t>Pneumokokinė</w:t>
            </w:r>
            <w:r w:rsidR="002F36BC">
              <w:t xml:space="preserve"> vakcina</w:t>
            </w:r>
          </w:p>
        </w:tc>
        <w:tc>
          <w:tcPr>
            <w:tcW w:w="4395" w:type="dxa"/>
          </w:tcPr>
          <w:p w14:paraId="21655CCE" w14:textId="77777777" w:rsidR="00E52AF9" w:rsidRPr="00E52AF9" w:rsidRDefault="00E52AF9" w:rsidP="00E52AF9">
            <w:pPr>
              <w:spacing w:after="0" w:line="240" w:lineRule="auto"/>
              <w:jc w:val="both"/>
              <w:rPr>
                <w:lang w:val="lt-LT"/>
              </w:rPr>
            </w:pPr>
            <w:r w:rsidRPr="00E52AF9">
              <w:rPr>
                <w:lang w:val="lt-LT"/>
              </w:rPr>
              <w:t>Asmenys, kurie anksčiau nebuvo skiepyti pneumokokine vakcina (PKV13 ar PPSV23): 1 dozė PKV13.</w:t>
            </w:r>
          </w:p>
          <w:p w14:paraId="025F362E" w14:textId="48A60F8C" w:rsidR="008C3617" w:rsidRDefault="00E52AF9" w:rsidP="00E52AF9">
            <w:pPr>
              <w:spacing w:after="0" w:line="240" w:lineRule="auto"/>
              <w:jc w:val="both"/>
            </w:pPr>
            <w:r w:rsidRPr="00E52AF9">
              <w:rPr>
                <w:lang w:val="lt-LT"/>
              </w:rPr>
              <w:t>Asmenys, kurie anksčiau buvo skiepyti PPSV23, bet nebuvo skiepyti PKV13: papildomai turėtų būti paskiepyti PKV13 praėjus mažiausiai 1 metams po PPSV23.</w:t>
            </w:r>
          </w:p>
        </w:tc>
      </w:tr>
      <w:tr w:rsidR="008C3617" w14:paraId="17F48A8E" w14:textId="77777777">
        <w:trPr>
          <w:trHeight w:val="420"/>
        </w:trPr>
        <w:tc>
          <w:tcPr>
            <w:tcW w:w="3544" w:type="dxa"/>
            <w:vMerge/>
          </w:tcPr>
          <w:p w14:paraId="49C6939B" w14:textId="77777777" w:rsidR="008C3617" w:rsidRDefault="008C3617" w:rsidP="003445A4">
            <w:pPr>
              <w:spacing w:after="0" w:line="240" w:lineRule="auto"/>
              <w:jc w:val="both"/>
            </w:pPr>
          </w:p>
        </w:tc>
        <w:tc>
          <w:tcPr>
            <w:tcW w:w="3260" w:type="dxa"/>
          </w:tcPr>
          <w:p w14:paraId="62197933" w14:textId="77777777" w:rsidR="008C3617" w:rsidRDefault="00D02CE4" w:rsidP="003445A4">
            <w:pPr>
              <w:spacing w:after="0" w:line="240" w:lineRule="auto"/>
              <w:jc w:val="both"/>
            </w:pPr>
            <w:r>
              <w:rPr>
                <w:i/>
              </w:rPr>
              <w:t>Herpes zoster</w:t>
            </w:r>
            <w:r>
              <w:t xml:space="preserve"> vakcina (esant galimybei)</w:t>
            </w:r>
          </w:p>
        </w:tc>
        <w:tc>
          <w:tcPr>
            <w:tcW w:w="4395" w:type="dxa"/>
          </w:tcPr>
          <w:p w14:paraId="064B75D8" w14:textId="6C2A7DF1" w:rsidR="008C3617" w:rsidRDefault="00D02CE4" w:rsidP="003445A4">
            <w:pPr>
              <w:spacing w:after="0" w:line="240" w:lineRule="auto"/>
              <w:jc w:val="both"/>
            </w:pPr>
            <w:r>
              <w:t xml:space="preserve">1 dozė ≥ 60 metų ir tiems 50-59 metų amžiaus pacientams, kurie yra sirgę vėjaraupiais ar </w:t>
            </w:r>
            <w:r w:rsidR="002F36BC">
              <w:rPr>
                <w:i/>
              </w:rPr>
              <w:t>H</w:t>
            </w:r>
            <w:r w:rsidRPr="002831DA">
              <w:rPr>
                <w:i/>
              </w:rPr>
              <w:t>erpes</w:t>
            </w:r>
            <w:r>
              <w:t xml:space="preserve"> infekcija anamnezėje arba kuriems laborato</w:t>
            </w:r>
            <w:r w:rsidR="006F6201">
              <w:t xml:space="preserve">riniais tyrimais nustatytas </w:t>
            </w:r>
            <w:r>
              <w:t>specifinis imunitetas ir jie nėra skiepyti vėjaraupių vakcina.</w:t>
            </w:r>
          </w:p>
        </w:tc>
      </w:tr>
      <w:tr w:rsidR="008C3617" w14:paraId="37016AF1" w14:textId="77777777">
        <w:trPr>
          <w:trHeight w:val="420"/>
        </w:trPr>
        <w:tc>
          <w:tcPr>
            <w:tcW w:w="3544" w:type="dxa"/>
            <w:vMerge/>
          </w:tcPr>
          <w:p w14:paraId="1B742E13" w14:textId="77777777" w:rsidR="008C3617" w:rsidRDefault="008C3617" w:rsidP="003445A4">
            <w:pPr>
              <w:spacing w:after="0" w:line="240" w:lineRule="auto"/>
              <w:jc w:val="both"/>
            </w:pPr>
          </w:p>
        </w:tc>
        <w:tc>
          <w:tcPr>
            <w:tcW w:w="3260" w:type="dxa"/>
          </w:tcPr>
          <w:p w14:paraId="53184320" w14:textId="52E94366" w:rsidR="008C3617" w:rsidRDefault="00D02CE4" w:rsidP="003445A4">
            <w:pPr>
              <w:spacing w:after="0" w:line="240" w:lineRule="auto"/>
              <w:jc w:val="both"/>
            </w:pPr>
            <w:r>
              <w:t>Td</w:t>
            </w:r>
            <w:r w:rsidR="002F36BC">
              <w:t xml:space="preserve"> arba </w:t>
            </w:r>
            <w:r>
              <w:t>Tdap vakcin</w:t>
            </w:r>
            <w:r w:rsidR="002F36BC">
              <w:t>a</w:t>
            </w:r>
          </w:p>
        </w:tc>
        <w:tc>
          <w:tcPr>
            <w:tcW w:w="4395" w:type="dxa"/>
          </w:tcPr>
          <w:p w14:paraId="64D4139D" w14:textId="09778F0A" w:rsidR="008C3617" w:rsidRDefault="00D02CE4" w:rsidP="00630ADD">
            <w:pPr>
              <w:spacing w:after="0" w:line="240" w:lineRule="auto"/>
            </w:pPr>
            <w:r>
              <w:t>1 do</w:t>
            </w:r>
            <w:r w:rsidR="00630ADD">
              <w:t xml:space="preserve">zė kas 10 metų </w:t>
            </w:r>
            <w:r w:rsidR="00630ADD" w:rsidRPr="00630ADD">
              <w:t xml:space="preserve">(Td vakcina), </w:t>
            </w:r>
            <w:r w:rsidR="00630ADD" w:rsidRPr="00630ADD">
              <w:rPr>
                <w:lang w:val="lt-LT"/>
              </w:rPr>
              <w:t>vieną revakcinaciją Td vakcina pakeisti revakcinacija nuo kokliušo, difterijos ir stabligės (Tdap vakcina), esant galimybei.</w:t>
            </w:r>
          </w:p>
        </w:tc>
      </w:tr>
      <w:tr w:rsidR="008C3617" w14:paraId="1654D544" w14:textId="77777777">
        <w:trPr>
          <w:trHeight w:val="420"/>
        </w:trPr>
        <w:tc>
          <w:tcPr>
            <w:tcW w:w="3544" w:type="dxa"/>
            <w:vMerge/>
          </w:tcPr>
          <w:p w14:paraId="4C707186" w14:textId="77777777" w:rsidR="008C3617" w:rsidRDefault="008C3617" w:rsidP="003445A4">
            <w:pPr>
              <w:spacing w:after="0" w:line="240" w:lineRule="auto"/>
              <w:jc w:val="both"/>
            </w:pPr>
          </w:p>
        </w:tc>
        <w:tc>
          <w:tcPr>
            <w:tcW w:w="3260" w:type="dxa"/>
          </w:tcPr>
          <w:p w14:paraId="10BFF095" w14:textId="77777777" w:rsidR="008C3617" w:rsidRDefault="00D02CE4" w:rsidP="003445A4">
            <w:pPr>
              <w:spacing w:after="0" w:line="240" w:lineRule="auto"/>
              <w:jc w:val="both"/>
            </w:pPr>
            <w:r>
              <w:t>Žmogaus papilomos viruso vakcina</w:t>
            </w:r>
          </w:p>
        </w:tc>
        <w:tc>
          <w:tcPr>
            <w:tcW w:w="4395" w:type="dxa"/>
          </w:tcPr>
          <w:p w14:paraId="2E7D41DF" w14:textId="6179D230" w:rsidR="008C3617" w:rsidRDefault="006F6201" w:rsidP="003445A4">
            <w:pPr>
              <w:spacing w:after="0" w:line="240" w:lineRule="auto"/>
              <w:jc w:val="both"/>
            </w:pPr>
            <w:r>
              <w:t xml:space="preserve">3 dozių kursas </w:t>
            </w:r>
            <w:r w:rsidR="00D02CE4">
              <w:t>moterims pagal vakcinų aprašus</w:t>
            </w:r>
            <w:r w:rsidR="002F36BC">
              <w:t>.</w:t>
            </w:r>
          </w:p>
        </w:tc>
      </w:tr>
      <w:tr w:rsidR="008C3617" w14:paraId="38DD3B8B" w14:textId="77777777">
        <w:trPr>
          <w:trHeight w:val="476"/>
        </w:trPr>
        <w:tc>
          <w:tcPr>
            <w:tcW w:w="3544" w:type="dxa"/>
            <w:vMerge/>
          </w:tcPr>
          <w:p w14:paraId="4F864F98" w14:textId="77777777" w:rsidR="008C3617" w:rsidRDefault="008C3617" w:rsidP="003445A4">
            <w:pPr>
              <w:spacing w:after="0" w:line="240" w:lineRule="auto"/>
              <w:jc w:val="both"/>
            </w:pPr>
          </w:p>
        </w:tc>
        <w:tc>
          <w:tcPr>
            <w:tcW w:w="3260" w:type="dxa"/>
          </w:tcPr>
          <w:p w14:paraId="4AE152CB" w14:textId="252581A3" w:rsidR="008C3617" w:rsidRDefault="00D02CE4" w:rsidP="003445A4">
            <w:pPr>
              <w:spacing w:after="0" w:line="240" w:lineRule="auto"/>
              <w:jc w:val="both"/>
            </w:pPr>
            <w:r>
              <w:t>VHB vakcina</w:t>
            </w:r>
          </w:p>
        </w:tc>
        <w:tc>
          <w:tcPr>
            <w:tcW w:w="4395" w:type="dxa"/>
          </w:tcPr>
          <w:p w14:paraId="0B71E082" w14:textId="70D1AE5A" w:rsidR="00E00467" w:rsidRDefault="002F36BC" w:rsidP="003445A4">
            <w:pPr>
              <w:spacing w:after="0" w:line="240" w:lineRule="auto"/>
              <w:jc w:val="both"/>
            </w:pPr>
            <w:r>
              <w:t>HBsAg, anti-HBc ir anti-HBs neigiamiems asmenims 3 dozių po 20 µg kurs</w:t>
            </w:r>
            <w:r w:rsidR="00E00467">
              <w:t>as pagal schemą: 0, 1 ir 6 mėn</w:t>
            </w:r>
            <w:r w:rsidR="00B260DF">
              <w:t>esiai</w:t>
            </w:r>
            <w:r w:rsidR="00E00467">
              <w:t>.</w:t>
            </w:r>
          </w:p>
          <w:p w14:paraId="413211AF" w14:textId="1DC78CD1" w:rsidR="008C3617" w:rsidRDefault="00D02CE4" w:rsidP="003445A4">
            <w:pPr>
              <w:spacing w:after="0" w:line="240" w:lineRule="auto"/>
              <w:jc w:val="both"/>
            </w:pPr>
            <w:r>
              <w:t>Galimos kitos schemos pagal vakcinų aprašus.</w:t>
            </w:r>
          </w:p>
        </w:tc>
      </w:tr>
      <w:tr w:rsidR="008C3617" w14:paraId="1549DC54" w14:textId="77777777">
        <w:trPr>
          <w:trHeight w:val="430"/>
        </w:trPr>
        <w:tc>
          <w:tcPr>
            <w:tcW w:w="3544" w:type="dxa"/>
            <w:vMerge/>
          </w:tcPr>
          <w:p w14:paraId="1A421C97" w14:textId="2ABE7FA5" w:rsidR="008C3617" w:rsidRDefault="008C3617" w:rsidP="003445A4">
            <w:pPr>
              <w:spacing w:after="0" w:line="240" w:lineRule="auto"/>
              <w:jc w:val="both"/>
            </w:pPr>
          </w:p>
        </w:tc>
        <w:tc>
          <w:tcPr>
            <w:tcW w:w="3260" w:type="dxa"/>
          </w:tcPr>
          <w:p w14:paraId="754F7F34" w14:textId="77777777" w:rsidR="008C3617" w:rsidRDefault="00D02CE4" w:rsidP="003445A4">
            <w:pPr>
              <w:spacing w:after="0" w:line="240" w:lineRule="auto"/>
              <w:jc w:val="both"/>
            </w:pPr>
            <w:r>
              <w:t>Erkinio encefalito vakcina</w:t>
            </w:r>
          </w:p>
        </w:tc>
        <w:tc>
          <w:tcPr>
            <w:tcW w:w="4395" w:type="dxa"/>
          </w:tcPr>
          <w:p w14:paraId="05CFF07F" w14:textId="344D0765" w:rsidR="008C3617" w:rsidRPr="00361CDF" w:rsidRDefault="0044169F" w:rsidP="0044169F">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 xml:space="preserve">1-3 mėnesių </w:t>
            </w:r>
            <w:r>
              <w:lastRenderedPageBreak/>
              <w:t>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bl>
    <w:p w14:paraId="4D965217" w14:textId="77777777" w:rsidR="008C3617" w:rsidRDefault="008C3617">
      <w:pPr>
        <w:jc w:val="both"/>
      </w:pPr>
    </w:p>
    <w:p w14:paraId="1AD81273" w14:textId="77777777" w:rsidR="008C3617" w:rsidRPr="00A52D8F" w:rsidRDefault="00D02CE4">
      <w:pPr>
        <w:spacing w:after="120"/>
        <w:rPr>
          <w:b/>
        </w:rPr>
      </w:pPr>
      <w:r w:rsidRPr="00A52D8F">
        <w:rPr>
          <w:b/>
        </w:rPr>
        <w:t>Paaiškinimai:</w:t>
      </w:r>
    </w:p>
    <w:p w14:paraId="6E48944D" w14:textId="6C750A5B" w:rsidR="008C3617" w:rsidRDefault="00D02CE4">
      <w:pPr>
        <w:spacing w:after="120"/>
      </w:pPr>
      <w:r>
        <w:t>PCV13 – pneumokokinė polisacharidinė konjuguota 13-valentė vakcina</w:t>
      </w:r>
    </w:p>
    <w:p w14:paraId="716E3599" w14:textId="611B2C4F" w:rsidR="008C3617" w:rsidRDefault="00D02CE4">
      <w:pPr>
        <w:spacing w:after="120"/>
      </w:pPr>
      <w:r>
        <w:t>PPSV23 – pneumokokinė polisacharidinė 23-valentė vakcina</w:t>
      </w:r>
    </w:p>
    <w:p w14:paraId="2C0B1084" w14:textId="6A7FB83A" w:rsidR="008C3617" w:rsidRDefault="00D02CE4">
      <w:pPr>
        <w:spacing w:after="120"/>
      </w:pPr>
      <w:r>
        <w:t>Td – difterijos, stabligės toksoidų vakcina</w:t>
      </w:r>
    </w:p>
    <w:p w14:paraId="3F855B04" w14:textId="40CB67A1" w:rsidR="008C3617" w:rsidRDefault="00D02CE4">
      <w:pPr>
        <w:spacing w:after="120"/>
      </w:pPr>
      <w:r>
        <w:t xml:space="preserve">Tdap – difterijos, stabligės toksoidų ir </w:t>
      </w:r>
      <w:r w:rsidR="001E4742">
        <w:t xml:space="preserve">neląstelinio </w:t>
      </w:r>
      <w:r>
        <w:t>kokliušo vakcina</w:t>
      </w:r>
    </w:p>
    <w:p w14:paraId="7A0171BB" w14:textId="59B649ED" w:rsidR="008C3617" w:rsidRPr="00F8384C" w:rsidRDefault="00D02CE4">
      <w:pPr>
        <w:spacing w:after="120"/>
      </w:pPr>
      <w:r w:rsidRPr="00F8384C">
        <w:t>VHB – virusini</w:t>
      </w:r>
      <w:r w:rsidR="001E4742" w:rsidRPr="00F8384C">
        <w:t>o</w:t>
      </w:r>
      <w:r w:rsidRPr="00F8384C">
        <w:t xml:space="preserve"> hepatit</w:t>
      </w:r>
      <w:r w:rsidR="001E4742" w:rsidRPr="00F8384C">
        <w:t>o</w:t>
      </w:r>
      <w:r w:rsidRPr="00F8384C">
        <w:t xml:space="preserve"> B </w:t>
      </w:r>
      <w:r w:rsidR="001E4742" w:rsidRPr="00F8384C">
        <w:t>vakcina</w:t>
      </w:r>
    </w:p>
    <w:p w14:paraId="371AAFAD" w14:textId="77777777" w:rsidR="00B260DF" w:rsidRPr="00F8384C" w:rsidRDefault="00B260DF" w:rsidP="00B260DF">
      <w:pPr>
        <w:spacing w:after="120"/>
      </w:pPr>
      <w:r w:rsidRPr="00F8384C">
        <w:t>HBsAg – hepatito B viruso paviršiaus antigenas</w:t>
      </w:r>
    </w:p>
    <w:p w14:paraId="15D258CA" w14:textId="77777777" w:rsidR="00B260DF" w:rsidRPr="00F8384C" w:rsidRDefault="00B260DF" w:rsidP="00B260DF">
      <w:pPr>
        <w:spacing w:after="120"/>
      </w:pPr>
      <w:r w:rsidRPr="00F8384C">
        <w:t>Anti-HBc – antikūnai prieš hepatito B viruso šerdinį antigeną</w:t>
      </w:r>
    </w:p>
    <w:p w14:paraId="24750580" w14:textId="41A50829" w:rsidR="008C3617" w:rsidRDefault="00B260DF" w:rsidP="00B260DF">
      <w:pPr>
        <w:spacing w:after="120"/>
        <w:rPr>
          <w:sz w:val="24"/>
          <w:szCs w:val="24"/>
        </w:rPr>
      </w:pPr>
      <w:r w:rsidRPr="00F8384C">
        <w:t>Anti-HBs – antikūnai prieš hepatito B viruso paviršiaus antigeną</w:t>
      </w:r>
    </w:p>
    <w:p w14:paraId="7336F15F" w14:textId="77777777" w:rsidR="00B260DF" w:rsidRDefault="00B260DF" w:rsidP="00B260DF">
      <w:pPr>
        <w:spacing w:after="120"/>
      </w:pPr>
    </w:p>
    <w:p w14:paraId="3860CF00" w14:textId="77777777" w:rsidR="008C3617" w:rsidRPr="00A52D8F" w:rsidRDefault="00D02CE4">
      <w:pPr>
        <w:jc w:val="both"/>
        <w:rPr>
          <w:b/>
        </w:rPr>
      </w:pPr>
      <w:r w:rsidRPr="00A52D8F">
        <w:rPr>
          <w:b/>
        </w:rPr>
        <w:t>Literatūros šaltiniai:</w:t>
      </w:r>
    </w:p>
    <w:p w14:paraId="74F2021F" w14:textId="4869A005" w:rsidR="008C3617" w:rsidRDefault="00D02CE4">
      <w:pPr>
        <w:pStyle w:val="ListParagraph1"/>
        <w:numPr>
          <w:ilvl w:val="0"/>
          <w:numId w:val="5"/>
        </w:numPr>
        <w:jc w:val="both"/>
      </w:pPr>
      <w:r>
        <w:t>EULAR recommendations for vaccination in adult patients with autoimmune inflammatory rheumatic disease. Ann Rheum Dis</w:t>
      </w:r>
      <w:r w:rsidR="001E4742">
        <w:t>.</w:t>
      </w:r>
      <w:r>
        <w:t xml:space="preserve"> 2011;</w:t>
      </w:r>
      <w:r w:rsidR="001E4742">
        <w:t xml:space="preserve"> </w:t>
      </w:r>
      <w:r>
        <w:t>70:</w:t>
      </w:r>
      <w:r w:rsidR="001E4742">
        <w:t xml:space="preserve"> </w:t>
      </w:r>
      <w:r>
        <w:t>414-422.</w:t>
      </w:r>
    </w:p>
    <w:p w14:paraId="0A8686AE" w14:textId="20DCBAB3" w:rsidR="008C3617" w:rsidRPr="00B729DE" w:rsidRDefault="00D02CE4" w:rsidP="003C6B6C">
      <w:pPr>
        <w:pStyle w:val="ListParagraph1"/>
        <w:numPr>
          <w:ilvl w:val="0"/>
          <w:numId w:val="5"/>
        </w:numPr>
        <w:jc w:val="both"/>
        <w:rPr>
          <w:sz w:val="24"/>
          <w:szCs w:val="24"/>
        </w:rPr>
      </w:pPr>
      <w:r w:rsidRPr="003C6B6C">
        <w:t>Rubin et al. 2013 IDSA Clinical Practice Guideline for Vaccination of the Immunocompromised Host. Clinical infectious Diseases</w:t>
      </w:r>
      <w:r w:rsidR="001E4742" w:rsidRPr="003C6B6C">
        <w:t xml:space="preserve">. </w:t>
      </w:r>
      <w:r w:rsidRPr="003C6B6C">
        <w:t>2014</w:t>
      </w:r>
      <w:r w:rsidR="001E4742" w:rsidRPr="003C6B6C">
        <w:t>;</w:t>
      </w:r>
      <w:r w:rsidRPr="003C6B6C">
        <w:t xml:space="preserve"> 58 (3)</w:t>
      </w:r>
      <w:r w:rsidR="001E4742" w:rsidRPr="003C6B6C">
        <w:t>:</w:t>
      </w:r>
      <w:r w:rsidRPr="003C6B6C">
        <w:t xml:space="preserve"> 309-318.</w:t>
      </w:r>
    </w:p>
    <w:p w14:paraId="4D96065F" w14:textId="21037BA5" w:rsidR="00B729DE" w:rsidRPr="0004367C" w:rsidRDefault="00B729DE" w:rsidP="003C6B6C">
      <w:pPr>
        <w:pStyle w:val="ListParagraph1"/>
        <w:numPr>
          <w:ilvl w:val="0"/>
          <w:numId w:val="5"/>
        </w:numPr>
        <w:jc w:val="both"/>
        <w:rPr>
          <w:color w:val="000000" w:themeColor="text1"/>
          <w:sz w:val="24"/>
          <w:szCs w:val="24"/>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p>
    <w:p w14:paraId="65E97E57" w14:textId="77777777" w:rsidR="008C3617" w:rsidRDefault="008C3617">
      <w:pPr>
        <w:jc w:val="both"/>
        <w:rPr>
          <w:b/>
          <w:sz w:val="24"/>
          <w:szCs w:val="24"/>
        </w:rPr>
      </w:pPr>
    </w:p>
    <w:p w14:paraId="771D1ADB" w14:textId="6E211E7C" w:rsidR="008C3617" w:rsidRPr="006346FC" w:rsidRDefault="006346FC" w:rsidP="00C84CC9">
      <w:pPr>
        <w:pStyle w:val="ListParagraph"/>
        <w:numPr>
          <w:ilvl w:val="0"/>
          <w:numId w:val="2"/>
        </w:numPr>
        <w:jc w:val="both"/>
        <w:rPr>
          <w:b/>
          <w:sz w:val="24"/>
          <w:szCs w:val="24"/>
        </w:rPr>
      </w:pPr>
      <w:r w:rsidRPr="006346FC">
        <w:rPr>
          <w:b/>
          <w:sz w:val="24"/>
          <w:szCs w:val="24"/>
        </w:rPr>
        <w:t>Pacientų skiepijimo rekomendacijos esant</w:t>
      </w:r>
      <w:r w:rsidR="00D02CE4" w:rsidRPr="006346FC">
        <w:rPr>
          <w:b/>
          <w:sz w:val="24"/>
          <w:szCs w:val="24"/>
        </w:rPr>
        <w:t xml:space="preserve"> asplenija</w:t>
      </w:r>
      <w:r w:rsidRPr="006346FC">
        <w:rPr>
          <w:b/>
          <w:sz w:val="24"/>
          <w:szCs w:val="24"/>
        </w:rPr>
        <w:t>i</w:t>
      </w:r>
      <w:r w:rsidR="00D02CE4" w:rsidRPr="006346FC">
        <w:rPr>
          <w:b/>
          <w:sz w:val="24"/>
          <w:szCs w:val="24"/>
        </w:rPr>
        <w:t xml:space="preserve">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1DF9A494" w14:textId="77777777">
        <w:tc>
          <w:tcPr>
            <w:tcW w:w="3544" w:type="dxa"/>
          </w:tcPr>
          <w:p w14:paraId="329C4B41" w14:textId="77777777" w:rsidR="008C3617" w:rsidRDefault="00D02CE4" w:rsidP="00D30D88">
            <w:pPr>
              <w:spacing w:after="0" w:line="240" w:lineRule="auto"/>
              <w:jc w:val="both"/>
              <w:rPr>
                <w:b/>
              </w:rPr>
            </w:pPr>
            <w:r>
              <w:rPr>
                <w:b/>
              </w:rPr>
              <w:t>Rizikos ligos/būklės</w:t>
            </w:r>
          </w:p>
        </w:tc>
        <w:tc>
          <w:tcPr>
            <w:tcW w:w="3544" w:type="dxa"/>
          </w:tcPr>
          <w:p w14:paraId="30FFD4A8" w14:textId="77777777" w:rsidR="008C3617" w:rsidRDefault="00D02CE4" w:rsidP="00D30D88">
            <w:pPr>
              <w:spacing w:after="0" w:line="240" w:lineRule="auto"/>
              <w:jc w:val="both"/>
              <w:rPr>
                <w:b/>
              </w:rPr>
            </w:pPr>
            <w:r>
              <w:rPr>
                <w:b/>
              </w:rPr>
              <w:t>Rekomenduojamos vakcinos</w:t>
            </w:r>
          </w:p>
        </w:tc>
        <w:tc>
          <w:tcPr>
            <w:tcW w:w="4111" w:type="dxa"/>
          </w:tcPr>
          <w:p w14:paraId="618DF4EA" w14:textId="77777777" w:rsidR="008C3617" w:rsidRDefault="00D02CE4" w:rsidP="00D30D88">
            <w:pPr>
              <w:spacing w:after="0" w:line="240" w:lineRule="auto"/>
              <w:jc w:val="both"/>
              <w:rPr>
                <w:b/>
              </w:rPr>
            </w:pPr>
            <w:r>
              <w:rPr>
                <w:b/>
              </w:rPr>
              <w:t>Pastabos dėl vakcinų vartojimo</w:t>
            </w:r>
          </w:p>
        </w:tc>
      </w:tr>
      <w:tr w:rsidR="00BC47E9" w14:paraId="16A25AC5" w14:textId="77777777">
        <w:trPr>
          <w:trHeight w:val="652"/>
        </w:trPr>
        <w:tc>
          <w:tcPr>
            <w:tcW w:w="3544" w:type="dxa"/>
            <w:vMerge w:val="restart"/>
          </w:tcPr>
          <w:p w14:paraId="4810F7BE" w14:textId="77777777" w:rsidR="00F4431F" w:rsidRDefault="00BC47E9" w:rsidP="00D30D88">
            <w:pPr>
              <w:spacing w:after="0" w:line="240" w:lineRule="auto"/>
              <w:jc w:val="both"/>
            </w:pPr>
            <w:r>
              <w:rPr>
                <w:b/>
              </w:rPr>
              <w:t>Anatominė asplenija</w:t>
            </w:r>
            <w:r>
              <w:t xml:space="preserve">: </w:t>
            </w:r>
          </w:p>
          <w:p w14:paraId="18F41C56" w14:textId="4DFD0565" w:rsidR="00BC47E9" w:rsidRDefault="00BC47E9" w:rsidP="00D30D88">
            <w:pPr>
              <w:spacing w:after="0" w:line="240" w:lineRule="auto"/>
              <w:jc w:val="both"/>
            </w:pPr>
            <w:proofErr w:type="gramStart"/>
            <w:r>
              <w:t>jatrogeninė</w:t>
            </w:r>
            <w:proofErr w:type="gramEnd"/>
            <w:r>
              <w:t xml:space="preserve"> ar potrauminė.</w:t>
            </w:r>
          </w:p>
          <w:p w14:paraId="7EC4D791" w14:textId="77777777" w:rsidR="00F4431F" w:rsidRDefault="00BC47E9" w:rsidP="007B0B17">
            <w:pPr>
              <w:spacing w:after="0" w:line="240" w:lineRule="auto"/>
            </w:pPr>
            <w:r>
              <w:t xml:space="preserve">Jeigu tik įmanoma, skiepijimas visomis rekomenduojamomis vakcinomis turi būti </w:t>
            </w:r>
          </w:p>
          <w:p w14:paraId="636AC201" w14:textId="77777777" w:rsidR="00F4431F" w:rsidRDefault="00BC47E9" w:rsidP="007B0B17">
            <w:pPr>
              <w:spacing w:after="0" w:line="240" w:lineRule="auto"/>
            </w:pPr>
            <w:r>
              <w:t xml:space="preserve">baigtas likus 2 savaitėms iki planuojamos splenektomijos; </w:t>
            </w:r>
          </w:p>
          <w:p w14:paraId="7AE28E2C" w14:textId="77777777" w:rsidR="00F4431F" w:rsidRDefault="00BC47E9" w:rsidP="007B0B17">
            <w:pPr>
              <w:spacing w:after="0" w:line="240" w:lineRule="auto"/>
            </w:pPr>
            <w:r>
              <w:t xml:space="preserve">jeigu nebuvo galimybės </w:t>
            </w:r>
          </w:p>
          <w:p w14:paraId="088E2F3A" w14:textId="77777777" w:rsidR="00F4431F" w:rsidRDefault="00BC47E9" w:rsidP="007B0B17">
            <w:pPr>
              <w:spacing w:after="0" w:line="240" w:lineRule="auto"/>
            </w:pPr>
            <w:r>
              <w:t>paskiepyti iki splenektomijos,</w:t>
            </w:r>
          </w:p>
          <w:p w14:paraId="59E6DE8B" w14:textId="762477C9" w:rsidR="00BC47E9" w:rsidRDefault="00F4431F" w:rsidP="007B0B17">
            <w:pPr>
              <w:spacing w:after="0" w:line="240" w:lineRule="auto"/>
            </w:pPr>
            <w:r>
              <w:t xml:space="preserve"> </w:t>
            </w:r>
            <w:proofErr w:type="gramStart"/>
            <w:r>
              <w:t>būtina</w:t>
            </w:r>
            <w:proofErr w:type="gramEnd"/>
            <w:r>
              <w:t xml:space="preserve"> tai padaryti kiek</w:t>
            </w:r>
            <w:r w:rsidR="00BC47E9">
              <w:t xml:space="preserve"> galima anksčiau po operacijos.</w:t>
            </w:r>
          </w:p>
        </w:tc>
        <w:tc>
          <w:tcPr>
            <w:tcW w:w="3544" w:type="dxa"/>
          </w:tcPr>
          <w:p w14:paraId="08F468A5" w14:textId="461665FE" w:rsidR="00BC47E9" w:rsidRDefault="00BC47E9" w:rsidP="00D30D88">
            <w:pPr>
              <w:spacing w:after="0" w:line="240" w:lineRule="auto"/>
              <w:jc w:val="both"/>
            </w:pPr>
            <w:r>
              <w:t>Sezoninė gripo vakcina</w:t>
            </w:r>
          </w:p>
        </w:tc>
        <w:tc>
          <w:tcPr>
            <w:tcW w:w="4111" w:type="dxa"/>
          </w:tcPr>
          <w:p w14:paraId="235F35DE" w14:textId="4DB32C11" w:rsidR="00BC47E9" w:rsidRDefault="00BC47E9" w:rsidP="00D30D88">
            <w:pPr>
              <w:spacing w:after="0" w:line="240" w:lineRule="auto"/>
              <w:jc w:val="both"/>
            </w:pPr>
            <w:r>
              <w:t xml:space="preserve">1 dozė </w:t>
            </w:r>
            <w:r w:rsidRPr="002C0327">
              <w:t>kasmet</w:t>
            </w:r>
            <w:r>
              <w:t xml:space="preserve"> prieš gripo sezoną.</w:t>
            </w:r>
          </w:p>
        </w:tc>
      </w:tr>
      <w:tr w:rsidR="00BC47E9" w14:paraId="33E04E3F" w14:textId="77777777">
        <w:trPr>
          <w:trHeight w:val="2248"/>
        </w:trPr>
        <w:tc>
          <w:tcPr>
            <w:tcW w:w="3544" w:type="dxa"/>
            <w:vMerge/>
          </w:tcPr>
          <w:p w14:paraId="6D80F83A" w14:textId="77777777" w:rsidR="00BC47E9" w:rsidRDefault="00BC47E9" w:rsidP="00D30D88">
            <w:pPr>
              <w:spacing w:after="0" w:line="240" w:lineRule="auto"/>
              <w:jc w:val="both"/>
            </w:pPr>
          </w:p>
        </w:tc>
        <w:tc>
          <w:tcPr>
            <w:tcW w:w="3544" w:type="dxa"/>
          </w:tcPr>
          <w:p w14:paraId="07BFBFE9" w14:textId="645389E1" w:rsidR="00BC47E9" w:rsidRDefault="00BC47E9" w:rsidP="00D30D88">
            <w:pPr>
              <w:spacing w:after="0" w:line="240" w:lineRule="auto"/>
              <w:jc w:val="both"/>
            </w:pPr>
            <w:r>
              <w:t>Pneumokokinė vakcina</w:t>
            </w:r>
          </w:p>
        </w:tc>
        <w:tc>
          <w:tcPr>
            <w:tcW w:w="4111" w:type="dxa"/>
          </w:tcPr>
          <w:p w14:paraId="2579DE66" w14:textId="77777777" w:rsidR="00BC47E9" w:rsidRPr="007B0432" w:rsidRDefault="00BC47E9" w:rsidP="007B0432">
            <w:pPr>
              <w:spacing w:after="0" w:line="240" w:lineRule="auto"/>
              <w:jc w:val="both"/>
              <w:rPr>
                <w:lang w:val="lt-LT"/>
              </w:rPr>
            </w:pPr>
            <w:r w:rsidRPr="007B0432">
              <w:rPr>
                <w:lang w:val="lt-LT"/>
              </w:rPr>
              <w:t>Asmenys, kurie anksčiau nebuvo skiepyti pneumokokine vakcina (PKV13 ar PPSV23): 1 dozė PKV13.</w:t>
            </w:r>
          </w:p>
          <w:p w14:paraId="6232046A" w14:textId="4F55B124" w:rsidR="00BC47E9" w:rsidRDefault="00BC47E9" w:rsidP="007B0432">
            <w:pPr>
              <w:spacing w:after="0" w:line="240" w:lineRule="auto"/>
              <w:jc w:val="both"/>
            </w:pPr>
            <w:r w:rsidRPr="007B0432">
              <w:rPr>
                <w:lang w:val="lt-LT"/>
              </w:rPr>
              <w:t>Asmenys, kurie anksčiau buvo skiepyti PPSV23, bet nebuvo skiepyti PKV13: papildomai turėtų būti paskiepyti PKV13 praėjus mažiausiai 1 metams po PPSV23.</w:t>
            </w:r>
          </w:p>
        </w:tc>
      </w:tr>
      <w:tr w:rsidR="00BC47E9" w14:paraId="121F4297" w14:textId="77777777">
        <w:tc>
          <w:tcPr>
            <w:tcW w:w="3544" w:type="dxa"/>
            <w:vMerge/>
          </w:tcPr>
          <w:p w14:paraId="3F268467" w14:textId="77777777" w:rsidR="00BC47E9" w:rsidRDefault="00BC47E9" w:rsidP="00D30D88">
            <w:pPr>
              <w:spacing w:after="0" w:line="240" w:lineRule="auto"/>
              <w:jc w:val="both"/>
            </w:pPr>
          </w:p>
        </w:tc>
        <w:tc>
          <w:tcPr>
            <w:tcW w:w="3544" w:type="dxa"/>
          </w:tcPr>
          <w:p w14:paraId="43B24221" w14:textId="2C80BFAD" w:rsidR="00BC47E9" w:rsidRDefault="00BC47E9" w:rsidP="00D30D88">
            <w:pPr>
              <w:spacing w:after="0" w:line="240" w:lineRule="auto"/>
              <w:jc w:val="both"/>
            </w:pPr>
            <w:r>
              <w:t xml:space="preserve">Konjuguota B tipo </w:t>
            </w:r>
            <w:r w:rsidRPr="002831DA">
              <w:rPr>
                <w:i/>
              </w:rPr>
              <w:t>Haemophilus influenzae</w:t>
            </w:r>
            <w:r>
              <w:t xml:space="preserve"> vakcina</w:t>
            </w:r>
          </w:p>
        </w:tc>
        <w:tc>
          <w:tcPr>
            <w:tcW w:w="4111" w:type="dxa"/>
          </w:tcPr>
          <w:p w14:paraId="289FB63E" w14:textId="6DECEECA" w:rsidR="00BC47E9" w:rsidRDefault="00BC47E9" w:rsidP="00D30D88">
            <w:pPr>
              <w:spacing w:after="0" w:line="240" w:lineRule="auto"/>
              <w:jc w:val="both"/>
            </w:pPr>
            <w:r>
              <w:t>Rekomenduojama įskiepyti vieną HiB vakcinos dozę, jeigu pacientas nebuvo skiepytas anksčiau</w:t>
            </w:r>
          </w:p>
        </w:tc>
      </w:tr>
      <w:tr w:rsidR="00BC47E9" w:rsidRPr="00BC47E9" w14:paraId="21960987" w14:textId="77777777" w:rsidTr="00BC47E9">
        <w:trPr>
          <w:trHeight w:val="5134"/>
        </w:trPr>
        <w:tc>
          <w:tcPr>
            <w:tcW w:w="3544" w:type="dxa"/>
            <w:vMerge/>
          </w:tcPr>
          <w:p w14:paraId="544A5B11" w14:textId="77777777" w:rsidR="00BC47E9" w:rsidRDefault="00BC47E9" w:rsidP="00D30D88">
            <w:pPr>
              <w:spacing w:after="0" w:line="240" w:lineRule="auto"/>
              <w:jc w:val="both"/>
            </w:pPr>
          </w:p>
        </w:tc>
        <w:tc>
          <w:tcPr>
            <w:tcW w:w="3544" w:type="dxa"/>
          </w:tcPr>
          <w:p w14:paraId="43948E91" w14:textId="61575079" w:rsidR="00BC47E9" w:rsidRDefault="00BC47E9" w:rsidP="00D30D88">
            <w:pPr>
              <w:spacing w:after="0" w:line="240" w:lineRule="auto"/>
              <w:jc w:val="both"/>
            </w:pPr>
            <w:r>
              <w:t>MenB vakcina</w:t>
            </w:r>
          </w:p>
          <w:p w14:paraId="521DAA4E" w14:textId="227A60B7" w:rsidR="00BC47E9" w:rsidRPr="00BC47E9" w:rsidRDefault="00BC47E9" w:rsidP="00D30D88">
            <w:pPr>
              <w:spacing w:after="0" w:line="240" w:lineRule="auto"/>
              <w:jc w:val="both"/>
              <w:rPr>
                <w:color w:val="000000" w:themeColor="text1"/>
              </w:rPr>
            </w:pPr>
            <w:r w:rsidRPr="00BC47E9">
              <w:rPr>
                <w:color w:val="000000" w:themeColor="text1"/>
              </w:rPr>
              <w:t>MenA,C,W,Y vakcina</w:t>
            </w:r>
          </w:p>
        </w:tc>
        <w:tc>
          <w:tcPr>
            <w:tcW w:w="4111" w:type="dxa"/>
          </w:tcPr>
          <w:p w14:paraId="571B59A9" w14:textId="2C5171BF" w:rsidR="00BC47E9" w:rsidRPr="00BC47E9" w:rsidRDefault="00BC47E9" w:rsidP="00BC47E9">
            <w:pPr>
              <w:spacing w:after="0" w:line="240" w:lineRule="auto"/>
              <w:rPr>
                <w:color w:val="000000" w:themeColor="text1"/>
              </w:rPr>
            </w:pPr>
            <w:r w:rsidRPr="00BC47E9">
              <w:rPr>
                <w:color w:val="000000" w:themeColor="text1"/>
                <w:lang w:val="lt-LT"/>
              </w:rPr>
              <w:t xml:space="preserve">Iki splenektomijos rekomenduojamos: MenB vakcinos arba </w:t>
            </w:r>
            <w:r w:rsidRPr="00BC47E9">
              <w:rPr>
                <w:color w:val="000000" w:themeColor="text1"/>
              </w:rPr>
              <w:t>2 doz</w:t>
            </w:r>
            <w:r w:rsidRPr="00BC47E9">
              <w:rPr>
                <w:color w:val="000000" w:themeColor="text1"/>
                <w:lang w:val="lt-LT"/>
              </w:rPr>
              <w:t>ės MenB-</w:t>
            </w:r>
            <w:r w:rsidRPr="00BC47E9">
              <w:rPr>
                <w:color w:val="000000" w:themeColor="text1"/>
              </w:rPr>
              <w:t>4C (Bexsero) su ma</w:t>
            </w:r>
            <w:r w:rsidRPr="00BC47E9">
              <w:rPr>
                <w:color w:val="000000" w:themeColor="text1"/>
                <w:lang w:val="lt-LT"/>
              </w:rPr>
              <w:t xml:space="preserve">žiausiai </w:t>
            </w:r>
            <w:r w:rsidRPr="00BC47E9">
              <w:rPr>
                <w:color w:val="000000" w:themeColor="text1"/>
              </w:rPr>
              <w:t>1 m</w:t>
            </w:r>
            <w:r w:rsidRPr="00BC47E9">
              <w:rPr>
                <w:color w:val="000000" w:themeColor="text1"/>
                <w:lang w:val="lt-LT"/>
              </w:rPr>
              <w:t xml:space="preserve">ėnesio intervalu tarp dozių, arba </w:t>
            </w:r>
            <w:r w:rsidRPr="00BC47E9">
              <w:rPr>
                <w:color w:val="000000" w:themeColor="text1"/>
              </w:rPr>
              <w:t>3 doz</w:t>
            </w:r>
            <w:r w:rsidRPr="00BC47E9">
              <w:rPr>
                <w:color w:val="000000" w:themeColor="text1"/>
                <w:lang w:val="lt-LT"/>
              </w:rPr>
              <w:t xml:space="preserve">ės MenB-FHbp (Trumenba), kurios </w:t>
            </w:r>
            <w:r w:rsidRPr="00BC47E9">
              <w:rPr>
                <w:color w:val="000000" w:themeColor="text1"/>
              </w:rPr>
              <w:t>2</w:t>
            </w:r>
            <w:r w:rsidRPr="00BC47E9">
              <w:rPr>
                <w:color w:val="000000" w:themeColor="text1"/>
                <w:lang w:val="lt-LT"/>
              </w:rPr>
              <w:t xml:space="preserve"> pirmosios</w:t>
            </w:r>
            <w:r w:rsidRPr="00BC47E9">
              <w:rPr>
                <w:color w:val="000000" w:themeColor="text1"/>
              </w:rPr>
              <w:t xml:space="preserve"> doz</w:t>
            </w:r>
            <w:r w:rsidRPr="00BC47E9">
              <w:rPr>
                <w:color w:val="000000" w:themeColor="text1"/>
                <w:lang w:val="lt-LT"/>
              </w:rPr>
              <w:t xml:space="preserve">ės įskiepijamos su </w:t>
            </w:r>
            <w:r w:rsidRPr="00BC47E9">
              <w:rPr>
                <w:color w:val="000000" w:themeColor="text1"/>
              </w:rPr>
              <w:t>1-2 m</w:t>
            </w:r>
            <w:r w:rsidRPr="00BC47E9">
              <w:rPr>
                <w:color w:val="000000" w:themeColor="text1"/>
                <w:lang w:val="lt-LT"/>
              </w:rPr>
              <w:t xml:space="preserve">ėnesių intervalu, likus mažiausiai </w:t>
            </w:r>
            <w:r w:rsidRPr="00BC47E9">
              <w:rPr>
                <w:color w:val="000000" w:themeColor="text1"/>
              </w:rPr>
              <w:t>2 savait</w:t>
            </w:r>
            <w:r w:rsidRPr="00BC47E9">
              <w:rPr>
                <w:color w:val="000000" w:themeColor="text1"/>
                <w:lang w:val="lt-LT"/>
              </w:rPr>
              <w:t xml:space="preserve">ėms iki splenektomijos, o 3-ioji dozė įskiepijama praėjus mažiausiai </w:t>
            </w:r>
            <w:r w:rsidRPr="00BC47E9">
              <w:rPr>
                <w:color w:val="000000" w:themeColor="text1"/>
              </w:rPr>
              <w:t>4 m</w:t>
            </w:r>
            <w:r w:rsidRPr="00BC47E9">
              <w:rPr>
                <w:color w:val="000000" w:themeColor="text1"/>
                <w:lang w:val="lt-LT"/>
              </w:rPr>
              <w:t xml:space="preserve">ėnesiams po antrosios; MenA,C,W,Y vakcinos </w:t>
            </w:r>
            <w:r w:rsidRPr="00BC47E9">
              <w:rPr>
                <w:color w:val="000000" w:themeColor="text1"/>
              </w:rPr>
              <w:t>1 doz</w:t>
            </w:r>
            <w:r w:rsidRPr="00BC47E9">
              <w:rPr>
                <w:color w:val="000000" w:themeColor="text1"/>
                <w:lang w:val="lt-LT"/>
              </w:rPr>
              <w:t xml:space="preserve">ė ir revakcinacijos kas </w:t>
            </w:r>
            <w:r w:rsidRPr="00BC47E9">
              <w:rPr>
                <w:color w:val="000000" w:themeColor="text1"/>
              </w:rPr>
              <w:t>5 metai.</w:t>
            </w:r>
          </w:p>
          <w:p w14:paraId="2EA9F4EC" w14:textId="70D60716" w:rsidR="00BC47E9" w:rsidRPr="00BC47E9" w:rsidRDefault="00BC47E9" w:rsidP="00BC47E9">
            <w:pPr>
              <w:spacing w:after="0" w:line="240" w:lineRule="auto"/>
              <w:rPr>
                <w:color w:val="000000" w:themeColor="text1"/>
                <w:lang w:val="lt-LT"/>
              </w:rPr>
            </w:pPr>
            <w:r w:rsidRPr="00BC47E9">
              <w:rPr>
                <w:color w:val="000000" w:themeColor="text1"/>
                <w:lang w:val="lt-LT"/>
              </w:rPr>
              <w:t>Skiepijant po splenektomijos rekomenduojamos: MenB vakcinos arba 2 dozės MenB-</w:t>
            </w:r>
            <w:r w:rsidRPr="00BC47E9">
              <w:rPr>
                <w:color w:val="000000" w:themeColor="text1"/>
              </w:rPr>
              <w:t>4C (Bexsero) su ma</w:t>
            </w:r>
            <w:r w:rsidRPr="00BC47E9">
              <w:rPr>
                <w:color w:val="000000" w:themeColor="text1"/>
                <w:lang w:val="lt-LT"/>
              </w:rPr>
              <w:t xml:space="preserve">žiausiai </w:t>
            </w:r>
            <w:r w:rsidRPr="00BC47E9">
              <w:rPr>
                <w:color w:val="000000" w:themeColor="text1"/>
              </w:rPr>
              <w:t>1 m</w:t>
            </w:r>
            <w:r w:rsidRPr="00BC47E9">
              <w:rPr>
                <w:color w:val="000000" w:themeColor="text1"/>
                <w:lang w:val="lt-LT"/>
              </w:rPr>
              <w:t xml:space="preserve">ėnesio intervalu tarp dozių, arba </w:t>
            </w:r>
            <w:r w:rsidRPr="00BC47E9">
              <w:rPr>
                <w:color w:val="000000" w:themeColor="text1"/>
              </w:rPr>
              <w:t>3 doz</w:t>
            </w:r>
            <w:r w:rsidRPr="00BC47E9">
              <w:rPr>
                <w:color w:val="000000" w:themeColor="text1"/>
                <w:lang w:val="lt-LT"/>
              </w:rPr>
              <w:t xml:space="preserve">ės MenB-FHbp (Trumenba) pagal schemą </w:t>
            </w:r>
          </w:p>
          <w:p w14:paraId="4F4B94BD" w14:textId="6600B4BA" w:rsidR="00BC47E9" w:rsidRPr="00BC47E9" w:rsidRDefault="00BC47E9" w:rsidP="00BC47E9">
            <w:pPr>
              <w:rPr>
                <w:color w:val="000000" w:themeColor="text1"/>
                <w:lang w:val="lt-LT"/>
              </w:rPr>
            </w:pPr>
            <w:r w:rsidRPr="00BC47E9">
              <w:rPr>
                <w:color w:val="000000" w:themeColor="text1"/>
                <w:lang w:val="lt-LT"/>
              </w:rPr>
              <w:t xml:space="preserve">0, </w:t>
            </w:r>
            <w:r w:rsidRPr="00BC47E9">
              <w:rPr>
                <w:color w:val="000000" w:themeColor="text1"/>
              </w:rPr>
              <w:t>1-2 ir 6 m</w:t>
            </w:r>
            <w:r w:rsidRPr="00BC47E9">
              <w:rPr>
                <w:color w:val="000000" w:themeColor="text1"/>
                <w:lang w:val="lt-LT"/>
              </w:rPr>
              <w:t xml:space="preserve">ėnesiai; MenA,C,W,Y vakcinos </w:t>
            </w:r>
            <w:r w:rsidRPr="00BC47E9">
              <w:rPr>
                <w:color w:val="000000" w:themeColor="text1"/>
              </w:rPr>
              <w:t xml:space="preserve"> 2 doz</w:t>
            </w:r>
            <w:r w:rsidRPr="00BC47E9">
              <w:rPr>
                <w:color w:val="000000" w:themeColor="text1"/>
                <w:lang w:val="lt-LT"/>
              </w:rPr>
              <w:t xml:space="preserve">ės su mažiausiai </w:t>
            </w:r>
            <w:r w:rsidRPr="00BC47E9">
              <w:rPr>
                <w:color w:val="000000" w:themeColor="text1"/>
              </w:rPr>
              <w:t>2 m</w:t>
            </w:r>
            <w:r w:rsidRPr="00BC47E9">
              <w:rPr>
                <w:color w:val="000000" w:themeColor="text1"/>
                <w:lang w:val="lt-LT"/>
              </w:rPr>
              <w:t xml:space="preserve">ėnesių intervalu tarp dozių ir revakcinacijos kas 5 metai. </w:t>
            </w:r>
          </w:p>
        </w:tc>
      </w:tr>
      <w:tr w:rsidR="00BC47E9" w14:paraId="53B828B3" w14:textId="77777777">
        <w:trPr>
          <w:trHeight w:val="1840"/>
        </w:trPr>
        <w:tc>
          <w:tcPr>
            <w:tcW w:w="3544" w:type="dxa"/>
            <w:vMerge/>
          </w:tcPr>
          <w:p w14:paraId="6B8611AC" w14:textId="77777777" w:rsidR="00BC47E9" w:rsidRDefault="00BC47E9" w:rsidP="00D30D88">
            <w:pPr>
              <w:spacing w:after="0" w:line="240" w:lineRule="auto"/>
              <w:jc w:val="both"/>
            </w:pPr>
          </w:p>
        </w:tc>
        <w:tc>
          <w:tcPr>
            <w:tcW w:w="3544" w:type="dxa"/>
          </w:tcPr>
          <w:p w14:paraId="1160DBDD" w14:textId="6C0BC51D" w:rsidR="00BC47E9" w:rsidRDefault="00BC47E9" w:rsidP="00D30D88">
            <w:pPr>
              <w:jc w:val="both"/>
            </w:pPr>
            <w:r>
              <w:t>Erkinio encefalito vakcina</w:t>
            </w:r>
          </w:p>
        </w:tc>
        <w:tc>
          <w:tcPr>
            <w:tcW w:w="4111" w:type="dxa"/>
          </w:tcPr>
          <w:p w14:paraId="4BDF61CF" w14:textId="4CEAC7D2" w:rsidR="00BC47E9" w:rsidRPr="00403CC0" w:rsidRDefault="00BC47E9" w:rsidP="00BC47E9">
            <w:pPr>
              <w:rPr>
                <w:color w:val="C00000"/>
                <w:lang w:val="lt-LT"/>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bl>
    <w:p w14:paraId="07ABF3DB" w14:textId="5AE3BE06" w:rsidR="008C3617" w:rsidRDefault="008C3617"/>
    <w:p w14:paraId="6AB6DFAA" w14:textId="77777777" w:rsidR="008C3617" w:rsidRPr="00A52D8F" w:rsidRDefault="00D02CE4">
      <w:pPr>
        <w:spacing w:after="120"/>
        <w:rPr>
          <w:b/>
        </w:rPr>
      </w:pPr>
      <w:r w:rsidRPr="00A52D8F">
        <w:rPr>
          <w:b/>
        </w:rPr>
        <w:t>Paaiškinimai:</w:t>
      </w:r>
    </w:p>
    <w:p w14:paraId="04AF6510" w14:textId="4A3F4A66" w:rsidR="008C3617" w:rsidRPr="0011209C" w:rsidRDefault="00D02CE4">
      <w:pPr>
        <w:spacing w:after="120"/>
      </w:pPr>
      <w:r w:rsidRPr="0011209C">
        <w:t>PCV13 – pneumokokinė</w:t>
      </w:r>
      <w:r w:rsidR="002F36BC" w:rsidRPr="0011209C">
        <w:t xml:space="preserve"> </w:t>
      </w:r>
      <w:r w:rsidRPr="0011209C">
        <w:t>polisacharidinė konjuguota 13-valentė vakcina</w:t>
      </w:r>
    </w:p>
    <w:p w14:paraId="57C4C44B" w14:textId="79160258" w:rsidR="008C3617" w:rsidRPr="0011209C" w:rsidRDefault="00D02CE4">
      <w:pPr>
        <w:spacing w:after="120"/>
      </w:pPr>
      <w:r w:rsidRPr="0011209C">
        <w:t>PPSV23 – pneumokokinė polisacharidinė 23-valentė vakcina</w:t>
      </w:r>
    </w:p>
    <w:p w14:paraId="32AB54E7" w14:textId="243C6565" w:rsidR="008C3617" w:rsidRPr="0011209C" w:rsidRDefault="00D02CE4">
      <w:pPr>
        <w:spacing w:after="120"/>
      </w:pPr>
      <w:r w:rsidRPr="0011209C">
        <w:t xml:space="preserve">HiB </w:t>
      </w:r>
      <w:r w:rsidR="002F36BC" w:rsidRPr="0011209C">
        <w:t>–</w:t>
      </w:r>
      <w:r w:rsidRPr="0011209C">
        <w:t xml:space="preserve"> </w:t>
      </w:r>
      <w:r w:rsidR="002F36BC" w:rsidRPr="0011209C">
        <w:t xml:space="preserve">Konjuguota </w:t>
      </w:r>
      <w:r w:rsidRPr="0011209C">
        <w:t xml:space="preserve">B tipo </w:t>
      </w:r>
      <w:r w:rsidRPr="0011209C">
        <w:rPr>
          <w:i/>
        </w:rPr>
        <w:t>Haemophilus influenzae</w:t>
      </w:r>
      <w:r w:rsidRPr="0011209C">
        <w:t xml:space="preserve"> vakcina</w:t>
      </w:r>
    </w:p>
    <w:p w14:paraId="71E4EBB8" w14:textId="4BDD0A4C" w:rsidR="008C3617" w:rsidRPr="00BC47E9" w:rsidRDefault="008A4D2E">
      <w:pPr>
        <w:spacing w:after="120"/>
        <w:rPr>
          <w:color w:val="000000" w:themeColor="text1"/>
          <w:lang w:val="lt-LT"/>
        </w:rPr>
      </w:pPr>
      <w:r w:rsidRPr="00BC47E9">
        <w:rPr>
          <w:color w:val="000000" w:themeColor="text1"/>
          <w:lang w:val="lt-LT"/>
        </w:rPr>
        <w:t>MenB – meningokokų B grupės vakcina</w:t>
      </w:r>
    </w:p>
    <w:p w14:paraId="3C5FBCFD" w14:textId="79E0D9D3" w:rsidR="008C3617" w:rsidRPr="00BC47E9" w:rsidRDefault="00D02CE4">
      <w:pPr>
        <w:spacing w:after="120"/>
        <w:rPr>
          <w:color w:val="000000" w:themeColor="text1"/>
        </w:rPr>
      </w:pPr>
      <w:r w:rsidRPr="00BC47E9">
        <w:rPr>
          <w:color w:val="000000" w:themeColor="text1"/>
          <w:lang w:val="lt-LT"/>
        </w:rPr>
        <w:t>M</w:t>
      </w:r>
      <w:r w:rsidR="008A4D2E" w:rsidRPr="00BC47E9">
        <w:rPr>
          <w:color w:val="000000" w:themeColor="text1"/>
          <w:lang w:val="lt-LT"/>
        </w:rPr>
        <w:t>enA,C,W,Y – meningokokų A,C,W-135 ir Y grupių konjuguota vakcina</w:t>
      </w:r>
    </w:p>
    <w:p w14:paraId="45FDCEF4" w14:textId="77777777" w:rsidR="007F6350" w:rsidRDefault="007F6350">
      <w:pPr>
        <w:jc w:val="both"/>
      </w:pPr>
    </w:p>
    <w:p w14:paraId="3FE1FB85" w14:textId="77777777" w:rsidR="008C3617" w:rsidRPr="00A52D8F" w:rsidRDefault="00D02CE4">
      <w:pPr>
        <w:jc w:val="both"/>
        <w:rPr>
          <w:b/>
        </w:rPr>
      </w:pPr>
      <w:r w:rsidRPr="00A52D8F">
        <w:rPr>
          <w:b/>
        </w:rPr>
        <w:t>Literatūros šaltiniai:</w:t>
      </w:r>
    </w:p>
    <w:p w14:paraId="5B7AED57" w14:textId="6A72F237" w:rsidR="008C3617" w:rsidRDefault="00D02CE4">
      <w:pPr>
        <w:pStyle w:val="ListParagraph1"/>
        <w:numPr>
          <w:ilvl w:val="0"/>
          <w:numId w:val="6"/>
        </w:numPr>
        <w:jc w:val="both"/>
      </w:pPr>
      <w:r>
        <w:t>Rubin et al. 2013 IDSA Clinical Practice Guideline for Vaccination of the Immunocompromised Host. Clinical infectious Diseases</w:t>
      </w:r>
      <w:r w:rsidR="007F6350">
        <w:t xml:space="preserve">. </w:t>
      </w:r>
      <w:r>
        <w:t>2014</w:t>
      </w:r>
      <w:r w:rsidR="007F6350">
        <w:t>;</w:t>
      </w:r>
      <w:r>
        <w:t xml:space="preserve"> 58 (3)</w:t>
      </w:r>
      <w:r w:rsidR="007F6350">
        <w:t>:</w:t>
      </w:r>
      <w:r>
        <w:t xml:space="preserve"> 309-318.</w:t>
      </w:r>
    </w:p>
    <w:p w14:paraId="15EFFC26" w14:textId="2B4BB1EB" w:rsidR="008C3617" w:rsidRDefault="00D02CE4">
      <w:pPr>
        <w:pStyle w:val="ListParagraph1"/>
        <w:numPr>
          <w:ilvl w:val="0"/>
          <w:numId w:val="6"/>
        </w:numPr>
        <w:jc w:val="both"/>
      </w:pPr>
      <w:r>
        <w:t>Rubin et al. Care of the Asplenic Patient. The New England Journal of Medicine. 2014;</w:t>
      </w:r>
      <w:r w:rsidR="007F6350">
        <w:t xml:space="preserve"> </w:t>
      </w:r>
      <w:r>
        <w:t>371:</w:t>
      </w:r>
      <w:r w:rsidR="007F6350">
        <w:t xml:space="preserve"> </w:t>
      </w:r>
      <w:r>
        <w:t>349-356.</w:t>
      </w:r>
    </w:p>
    <w:p w14:paraId="664144AA" w14:textId="52EFEC9B" w:rsidR="006236EA" w:rsidRDefault="00CB7C5A">
      <w:pPr>
        <w:pStyle w:val="ListParagraph1"/>
        <w:numPr>
          <w:ilvl w:val="0"/>
          <w:numId w:val="6"/>
        </w:numPr>
        <w:jc w:val="both"/>
        <w:rPr>
          <w:color w:val="000000" w:themeColor="text1"/>
        </w:rPr>
      </w:pPr>
      <w:r w:rsidRPr="00830FD6">
        <w:rPr>
          <w:color w:val="000000" w:themeColor="text1"/>
        </w:rPr>
        <w:t xml:space="preserve">Kim et al. </w:t>
      </w:r>
      <w:r w:rsidR="006236EA" w:rsidRPr="00830FD6">
        <w:rPr>
          <w:color w:val="000000" w:themeColor="text1"/>
        </w:rPr>
        <w:t>R</w:t>
      </w:r>
      <w:r w:rsidR="00AD2C9A" w:rsidRPr="00830FD6">
        <w:rPr>
          <w:color w:val="000000" w:themeColor="text1"/>
        </w:rPr>
        <w:t>ecommended Immunization Schedul</w:t>
      </w:r>
      <w:r w:rsidR="006236EA" w:rsidRPr="00830FD6">
        <w:rPr>
          <w:color w:val="000000" w:themeColor="text1"/>
        </w:rPr>
        <w:t>e for Adults Aged 19 Years or Older, United States 2017</w:t>
      </w:r>
      <w:r w:rsidRPr="00830FD6">
        <w:rPr>
          <w:color w:val="000000" w:themeColor="text1"/>
        </w:rPr>
        <w:t>. Ann Intern Med. 2017; 166: 209-18. Doi: 10.7326/M16-2936</w:t>
      </w:r>
      <w:r w:rsidR="00BB25A5">
        <w:rPr>
          <w:color w:val="000000" w:themeColor="text1"/>
        </w:rPr>
        <w:t>.</w:t>
      </w:r>
    </w:p>
    <w:p w14:paraId="51C2DD37" w14:textId="0776324C" w:rsidR="00A63051" w:rsidRPr="0004367C" w:rsidRDefault="00A63051">
      <w:pPr>
        <w:pStyle w:val="ListParagraph1"/>
        <w:numPr>
          <w:ilvl w:val="0"/>
          <w:numId w:val="6"/>
        </w:numPr>
        <w:jc w:val="both"/>
        <w:rPr>
          <w:color w:val="000000" w:themeColor="text1"/>
        </w:rPr>
      </w:pPr>
      <w:r w:rsidRPr="0004367C">
        <w:rPr>
          <w:color w:val="000000" w:themeColor="text1"/>
        </w:rPr>
        <w:lastRenderedPageBreak/>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p>
    <w:p w14:paraId="3C171655" w14:textId="77777777" w:rsidR="00A05821" w:rsidRDefault="00A05821" w:rsidP="002831DA">
      <w:pPr>
        <w:pStyle w:val="ListParagraph1"/>
        <w:ind w:left="0"/>
        <w:jc w:val="both"/>
      </w:pPr>
    </w:p>
    <w:p w14:paraId="1DDAF905" w14:textId="517DF8A0" w:rsidR="008C3617" w:rsidRDefault="00D5320C" w:rsidP="00C84CC9">
      <w:pPr>
        <w:pStyle w:val="ListParagraph"/>
        <w:numPr>
          <w:ilvl w:val="0"/>
          <w:numId w:val="2"/>
        </w:numPr>
        <w:jc w:val="both"/>
      </w:pPr>
      <w:r w:rsidRPr="00D5320C">
        <w:rPr>
          <w:b/>
          <w:sz w:val="24"/>
          <w:szCs w:val="24"/>
        </w:rPr>
        <w:t xml:space="preserve">Pacientų, kuriems yra </w:t>
      </w:r>
      <w:r w:rsidR="00D02CE4" w:rsidRPr="00D5320C">
        <w:rPr>
          <w:b/>
          <w:sz w:val="24"/>
          <w:szCs w:val="24"/>
        </w:rPr>
        <w:t>anatominio barjero defek</w:t>
      </w:r>
      <w:r w:rsidRPr="00D5320C">
        <w:rPr>
          <w:b/>
          <w:sz w:val="24"/>
          <w:szCs w:val="24"/>
        </w:rPr>
        <w:t>tų, didinančių</w:t>
      </w:r>
      <w:r w:rsidR="00D02CE4" w:rsidRPr="00D5320C">
        <w:rPr>
          <w:b/>
          <w:sz w:val="24"/>
          <w:szCs w:val="24"/>
        </w:rPr>
        <w:t xml:space="preserve"> riziką susirgti pneumokokine infekcija</w:t>
      </w:r>
      <w:r w:rsidRPr="00D5320C">
        <w:rPr>
          <w:b/>
          <w:sz w:val="24"/>
          <w:szCs w:val="24"/>
        </w:rPr>
        <w:t>,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044E1CCF" w14:textId="77777777">
        <w:tc>
          <w:tcPr>
            <w:tcW w:w="3544" w:type="dxa"/>
          </w:tcPr>
          <w:p w14:paraId="748FE84A" w14:textId="77777777" w:rsidR="008C3617" w:rsidRDefault="00D02CE4" w:rsidP="00375ED8">
            <w:pPr>
              <w:spacing w:after="0" w:line="240" w:lineRule="auto"/>
              <w:jc w:val="both"/>
              <w:rPr>
                <w:b/>
              </w:rPr>
            </w:pPr>
            <w:r>
              <w:rPr>
                <w:b/>
              </w:rPr>
              <w:t>Rizikos ligos/būklės</w:t>
            </w:r>
          </w:p>
        </w:tc>
        <w:tc>
          <w:tcPr>
            <w:tcW w:w="3544" w:type="dxa"/>
          </w:tcPr>
          <w:p w14:paraId="4FCF56EB" w14:textId="77777777" w:rsidR="008C3617" w:rsidRDefault="00D02CE4" w:rsidP="00375ED8">
            <w:pPr>
              <w:spacing w:after="0" w:line="240" w:lineRule="auto"/>
              <w:jc w:val="both"/>
              <w:rPr>
                <w:b/>
              </w:rPr>
            </w:pPr>
            <w:r>
              <w:rPr>
                <w:b/>
              </w:rPr>
              <w:t>Rekomenduojamos vakcinos</w:t>
            </w:r>
          </w:p>
        </w:tc>
        <w:tc>
          <w:tcPr>
            <w:tcW w:w="4111" w:type="dxa"/>
          </w:tcPr>
          <w:p w14:paraId="60464EE9" w14:textId="77777777" w:rsidR="008C3617" w:rsidRDefault="00D02CE4" w:rsidP="00375ED8">
            <w:pPr>
              <w:spacing w:after="0" w:line="240" w:lineRule="auto"/>
              <w:jc w:val="both"/>
              <w:rPr>
                <w:b/>
              </w:rPr>
            </w:pPr>
            <w:r>
              <w:rPr>
                <w:b/>
              </w:rPr>
              <w:t>Pastabos dėl vakcinų vartojimo</w:t>
            </w:r>
          </w:p>
        </w:tc>
      </w:tr>
      <w:tr w:rsidR="00153CFF" w14:paraId="75C7A40C" w14:textId="77777777">
        <w:trPr>
          <w:trHeight w:val="449"/>
        </w:trPr>
        <w:tc>
          <w:tcPr>
            <w:tcW w:w="3544" w:type="dxa"/>
            <w:vMerge w:val="restart"/>
          </w:tcPr>
          <w:p w14:paraId="39329EE4" w14:textId="77777777" w:rsidR="00153CFF" w:rsidRDefault="00153CFF" w:rsidP="00375ED8">
            <w:pPr>
              <w:spacing w:after="0" w:line="240" w:lineRule="auto"/>
              <w:jc w:val="both"/>
            </w:pPr>
            <w:r>
              <w:rPr>
                <w:b/>
              </w:rPr>
              <w:t>Likvorėja:</w:t>
            </w:r>
            <w:r>
              <w:t xml:space="preserve"> </w:t>
            </w:r>
          </w:p>
          <w:p w14:paraId="2064C637" w14:textId="77777777" w:rsidR="00153CFF" w:rsidRDefault="00153CFF" w:rsidP="00375ED8">
            <w:pPr>
              <w:spacing w:after="0" w:line="240" w:lineRule="auto"/>
              <w:jc w:val="both"/>
            </w:pPr>
            <w:r>
              <w:t>jatrogeninė ar</w:t>
            </w:r>
          </w:p>
          <w:p w14:paraId="43B3F4B6" w14:textId="5514FAA7" w:rsidR="00153CFF" w:rsidRDefault="00153CFF" w:rsidP="00375ED8">
            <w:pPr>
              <w:spacing w:after="0" w:line="240" w:lineRule="auto"/>
              <w:jc w:val="both"/>
            </w:pPr>
            <w:r>
              <w:t xml:space="preserve"> potrauminė</w:t>
            </w:r>
          </w:p>
          <w:p w14:paraId="20E0CE3C" w14:textId="77777777" w:rsidR="00153CFF" w:rsidRDefault="00153CFF" w:rsidP="00375ED8">
            <w:pPr>
              <w:spacing w:after="0" w:line="240" w:lineRule="auto"/>
              <w:jc w:val="both"/>
              <w:rPr>
                <w:b/>
              </w:rPr>
            </w:pPr>
            <w:r>
              <w:rPr>
                <w:b/>
              </w:rPr>
              <w:t xml:space="preserve">Kochleariniai </w:t>
            </w:r>
          </w:p>
          <w:p w14:paraId="69BFB6D7" w14:textId="6B54870C" w:rsidR="00153CFF" w:rsidRDefault="00153CFF" w:rsidP="00375ED8">
            <w:pPr>
              <w:spacing w:after="0" w:line="240" w:lineRule="auto"/>
              <w:jc w:val="both"/>
            </w:pPr>
            <w:r>
              <w:rPr>
                <w:b/>
              </w:rPr>
              <w:t>implantai</w:t>
            </w:r>
          </w:p>
        </w:tc>
        <w:tc>
          <w:tcPr>
            <w:tcW w:w="3544" w:type="dxa"/>
          </w:tcPr>
          <w:p w14:paraId="2FA2204B" w14:textId="77777777" w:rsidR="00153CFF" w:rsidRDefault="00153CFF" w:rsidP="00375ED8">
            <w:pPr>
              <w:spacing w:after="0" w:line="240" w:lineRule="auto"/>
              <w:jc w:val="both"/>
            </w:pPr>
            <w:r>
              <w:t xml:space="preserve">Sezoninė gripo </w:t>
            </w:r>
          </w:p>
          <w:p w14:paraId="7AD6564E" w14:textId="79BDB4FC" w:rsidR="00153CFF" w:rsidRDefault="00153CFF" w:rsidP="00375ED8">
            <w:pPr>
              <w:spacing w:after="0" w:line="240" w:lineRule="auto"/>
              <w:jc w:val="both"/>
            </w:pPr>
            <w:r>
              <w:t>vakcina</w:t>
            </w:r>
          </w:p>
        </w:tc>
        <w:tc>
          <w:tcPr>
            <w:tcW w:w="4111" w:type="dxa"/>
          </w:tcPr>
          <w:p w14:paraId="0BB9E660" w14:textId="27A4991D" w:rsidR="00153CFF" w:rsidRDefault="00153CFF" w:rsidP="00375ED8">
            <w:pPr>
              <w:spacing w:after="0" w:line="240" w:lineRule="auto"/>
              <w:jc w:val="both"/>
            </w:pPr>
            <w:r>
              <w:t xml:space="preserve">1 dozė </w:t>
            </w:r>
            <w:r w:rsidRPr="002C0327">
              <w:t>kasmet</w:t>
            </w:r>
            <w:r>
              <w:t xml:space="preserve"> prieš gripo sezoną.</w:t>
            </w:r>
          </w:p>
        </w:tc>
      </w:tr>
      <w:tr w:rsidR="00153CFF" w14:paraId="780CC91A" w14:textId="77777777" w:rsidTr="00153CFF">
        <w:trPr>
          <w:trHeight w:val="3516"/>
        </w:trPr>
        <w:tc>
          <w:tcPr>
            <w:tcW w:w="3544" w:type="dxa"/>
            <w:vMerge/>
          </w:tcPr>
          <w:p w14:paraId="06ED62E3" w14:textId="77777777" w:rsidR="00153CFF" w:rsidRDefault="00153CFF" w:rsidP="00375ED8">
            <w:pPr>
              <w:spacing w:after="0" w:line="240" w:lineRule="auto"/>
              <w:jc w:val="both"/>
              <w:rPr>
                <w:b/>
              </w:rPr>
            </w:pPr>
          </w:p>
        </w:tc>
        <w:tc>
          <w:tcPr>
            <w:tcW w:w="3544" w:type="dxa"/>
          </w:tcPr>
          <w:p w14:paraId="7DD51C48" w14:textId="77777777" w:rsidR="00153CFF" w:rsidRDefault="00153CFF" w:rsidP="00375ED8">
            <w:pPr>
              <w:spacing w:after="0" w:line="240" w:lineRule="auto"/>
              <w:jc w:val="both"/>
            </w:pPr>
            <w:r>
              <w:t xml:space="preserve">Pneumokokinė </w:t>
            </w:r>
          </w:p>
          <w:p w14:paraId="3C7C404A" w14:textId="73AAF65B" w:rsidR="00153CFF" w:rsidRDefault="00153CFF" w:rsidP="00375ED8">
            <w:pPr>
              <w:spacing w:after="0" w:line="240" w:lineRule="auto"/>
              <w:jc w:val="both"/>
            </w:pPr>
            <w:r>
              <w:t>vakcina</w:t>
            </w:r>
          </w:p>
        </w:tc>
        <w:tc>
          <w:tcPr>
            <w:tcW w:w="4111" w:type="dxa"/>
          </w:tcPr>
          <w:p w14:paraId="7901206C" w14:textId="77777777" w:rsidR="00153CFF" w:rsidRPr="000C08CC" w:rsidRDefault="00153CFF" w:rsidP="000C08CC">
            <w:pPr>
              <w:spacing w:after="0" w:line="240" w:lineRule="auto"/>
              <w:rPr>
                <w:lang w:val="lt-LT"/>
              </w:rPr>
            </w:pPr>
            <w:r w:rsidRPr="000C08CC">
              <w:rPr>
                <w:lang w:val="lt-LT"/>
              </w:rPr>
              <w:t>Asmenys, kurie anksčiau nebuvo skiepyti pneumokokine vakcina (PKV13 ar PPSV23): 1 dozė PKV13.</w:t>
            </w:r>
          </w:p>
          <w:p w14:paraId="7FF8032E" w14:textId="77777777" w:rsidR="00153CFF" w:rsidRDefault="00153CFF" w:rsidP="000C08CC">
            <w:pPr>
              <w:spacing w:after="0" w:line="240" w:lineRule="auto"/>
              <w:rPr>
                <w:lang w:val="lt-LT"/>
              </w:rPr>
            </w:pPr>
            <w:r w:rsidRPr="000C08CC">
              <w:rPr>
                <w:lang w:val="lt-LT"/>
              </w:rPr>
              <w:t>Asmenys, kurie anksčiau buvo skiepyti PPSV23, bet nebuvo skiepyti PKV13: papildomai turėtų būti paskiepyti PKV13 praėjus mažiausiai 1 metams po PPSV23.</w:t>
            </w:r>
          </w:p>
          <w:p w14:paraId="05BB287C" w14:textId="4A8AC2E4" w:rsidR="00153CFF" w:rsidRDefault="00153CFF" w:rsidP="000C08CC">
            <w:r>
              <w:t>Vakcina rekomenduojama skiepyti likus ne mažiau kaip 2 savaitėms iki kochlearinio implanto operacijos. Jeigu nebuvo galimybės paskiepyti iki operacijos, būtina tai padaryti kaip galima anksčiau po operacijos.</w:t>
            </w:r>
          </w:p>
        </w:tc>
      </w:tr>
      <w:tr w:rsidR="00153CFF" w14:paraId="7FE06678" w14:textId="77777777">
        <w:trPr>
          <w:trHeight w:val="1855"/>
        </w:trPr>
        <w:tc>
          <w:tcPr>
            <w:tcW w:w="3544" w:type="dxa"/>
            <w:vMerge/>
          </w:tcPr>
          <w:p w14:paraId="7110F2B6" w14:textId="77777777" w:rsidR="00153CFF" w:rsidRDefault="00153CFF" w:rsidP="00375ED8">
            <w:pPr>
              <w:spacing w:after="0" w:line="240" w:lineRule="auto"/>
              <w:jc w:val="both"/>
              <w:rPr>
                <w:b/>
              </w:rPr>
            </w:pPr>
          </w:p>
        </w:tc>
        <w:tc>
          <w:tcPr>
            <w:tcW w:w="3544" w:type="dxa"/>
          </w:tcPr>
          <w:p w14:paraId="323C1EDD" w14:textId="227512D6" w:rsidR="00153CFF" w:rsidRDefault="00675AC3" w:rsidP="00375ED8">
            <w:pPr>
              <w:jc w:val="both"/>
            </w:pPr>
            <w:r>
              <w:t>Erkinio encefalito vakcina</w:t>
            </w:r>
          </w:p>
        </w:tc>
        <w:tc>
          <w:tcPr>
            <w:tcW w:w="4111" w:type="dxa"/>
          </w:tcPr>
          <w:p w14:paraId="4778C9BE" w14:textId="6929875A" w:rsidR="00153CFF" w:rsidRPr="000C08CC" w:rsidRDefault="00153CFF" w:rsidP="000C08CC">
            <w:pPr>
              <w:rPr>
                <w:lang w:val="lt-LT"/>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91700A">
              <w:rPr>
                <w:color w:val="000000"/>
              </w:rPr>
              <w:t xml:space="preserve"> </w:t>
            </w:r>
            <w:r w:rsidR="0091700A" w:rsidRPr="007A76BB">
              <w:rPr>
                <w:color w:val="000000"/>
              </w:rPr>
              <w:t xml:space="preserve">Revakcinacija kas </w:t>
            </w:r>
            <w:r w:rsidR="0091700A" w:rsidRPr="0004367C">
              <w:rPr>
                <w:color w:val="000000" w:themeColor="text1"/>
              </w:rPr>
              <w:t>3 -5 metai (priklausomai nuo vakcinos gamintojo).</w:t>
            </w:r>
          </w:p>
        </w:tc>
      </w:tr>
    </w:tbl>
    <w:p w14:paraId="4CE57DFD" w14:textId="77777777" w:rsidR="008C3617" w:rsidRDefault="008C3617">
      <w:pPr>
        <w:spacing w:after="120"/>
      </w:pPr>
    </w:p>
    <w:p w14:paraId="1B1F22C9" w14:textId="77777777" w:rsidR="008C3617" w:rsidRPr="00A52D8F" w:rsidRDefault="00D02CE4">
      <w:pPr>
        <w:spacing w:after="120"/>
        <w:rPr>
          <w:b/>
        </w:rPr>
      </w:pPr>
      <w:r w:rsidRPr="00A52D8F">
        <w:rPr>
          <w:b/>
        </w:rPr>
        <w:t>Paaiškinimai:</w:t>
      </w:r>
    </w:p>
    <w:p w14:paraId="148644A0" w14:textId="5559319E" w:rsidR="008C3617" w:rsidRDefault="00D02CE4">
      <w:pPr>
        <w:spacing w:after="120"/>
      </w:pPr>
      <w:r>
        <w:t>PCV13 – pneumokokinė polisacharidinė konjuguota 13-valentė vakcina</w:t>
      </w:r>
    </w:p>
    <w:p w14:paraId="7E036C2A" w14:textId="59D17056" w:rsidR="008C3617" w:rsidRDefault="00D02CE4">
      <w:pPr>
        <w:spacing w:after="120"/>
      </w:pPr>
      <w:r>
        <w:t>PPSV23 – pneumokokinė polisacharidinė 23-valentė vakcina</w:t>
      </w:r>
    </w:p>
    <w:p w14:paraId="6278FC57" w14:textId="77777777" w:rsidR="008C3617" w:rsidRDefault="008C3617">
      <w:pPr>
        <w:spacing w:after="120"/>
      </w:pPr>
    </w:p>
    <w:p w14:paraId="567592A9" w14:textId="77777777" w:rsidR="008C3617" w:rsidRPr="00A52D8F" w:rsidRDefault="00D02CE4">
      <w:pPr>
        <w:jc w:val="both"/>
        <w:rPr>
          <w:b/>
        </w:rPr>
      </w:pPr>
      <w:r w:rsidRPr="00A52D8F">
        <w:rPr>
          <w:b/>
        </w:rPr>
        <w:t>Literatūros šaltiniai:</w:t>
      </w:r>
    </w:p>
    <w:p w14:paraId="77883D4D" w14:textId="77777777" w:rsidR="008C3617" w:rsidRDefault="00D02CE4">
      <w:pPr>
        <w:pStyle w:val="ListParagraph1"/>
        <w:numPr>
          <w:ilvl w:val="0"/>
          <w:numId w:val="7"/>
        </w:numPr>
        <w:jc w:val="both"/>
      </w:pPr>
      <w:r>
        <w:t>Use of 13-Valent Pneumococcal Conjugate Vaccine and 23-Valent Pneumococcal Polysaccharide Vaccine for Adults with Immunocompromising Conditions: Recommendations of the Advisory Committee on Immunization Practices (ACIP) MMWR/October 12, 2012/Vol.61/No 40</w:t>
      </w:r>
    </w:p>
    <w:p w14:paraId="40A49FFE" w14:textId="402404D4" w:rsidR="008C3617" w:rsidRDefault="00D02CE4">
      <w:pPr>
        <w:pStyle w:val="ListParagraph1"/>
        <w:numPr>
          <w:ilvl w:val="0"/>
          <w:numId w:val="7"/>
        </w:numPr>
        <w:jc w:val="both"/>
      </w:pPr>
      <w:r>
        <w:t>Rubin et al. 2013 IDSA Clinical Practice Guideline for Vaccination of the Immunocompromised Host. Clinical infectious Diseases</w:t>
      </w:r>
      <w:r w:rsidR="00101761">
        <w:t xml:space="preserve">. </w:t>
      </w:r>
      <w:r>
        <w:t>2014</w:t>
      </w:r>
      <w:r w:rsidR="00101761">
        <w:t>;</w:t>
      </w:r>
      <w:r>
        <w:t xml:space="preserve"> 58 (3)</w:t>
      </w:r>
      <w:r w:rsidR="00101761">
        <w:t>:</w:t>
      </w:r>
      <w:r>
        <w:t xml:space="preserve"> 309-318.</w:t>
      </w:r>
    </w:p>
    <w:p w14:paraId="069AB835" w14:textId="77777777" w:rsidR="008C3617" w:rsidRDefault="008C3617">
      <w:pPr>
        <w:jc w:val="both"/>
        <w:rPr>
          <w:b/>
          <w:sz w:val="24"/>
          <w:szCs w:val="24"/>
        </w:rPr>
      </w:pPr>
    </w:p>
    <w:p w14:paraId="45ECD02E" w14:textId="77777777" w:rsidR="008B10FC" w:rsidRDefault="008B10FC">
      <w:pPr>
        <w:jc w:val="both"/>
        <w:rPr>
          <w:b/>
          <w:sz w:val="24"/>
          <w:szCs w:val="24"/>
        </w:rPr>
      </w:pPr>
    </w:p>
    <w:p w14:paraId="28FB5B84" w14:textId="77777777" w:rsidR="008B10FC" w:rsidRDefault="008B10FC">
      <w:pPr>
        <w:jc w:val="both"/>
        <w:rPr>
          <w:b/>
          <w:sz w:val="24"/>
          <w:szCs w:val="24"/>
        </w:rPr>
      </w:pPr>
    </w:p>
    <w:p w14:paraId="78997010" w14:textId="2F5A1BEC" w:rsidR="008C3617" w:rsidRDefault="00D5320C" w:rsidP="00C84CC9">
      <w:pPr>
        <w:pStyle w:val="ListParagraph"/>
        <w:numPr>
          <w:ilvl w:val="0"/>
          <w:numId w:val="2"/>
        </w:numPr>
        <w:jc w:val="both"/>
      </w:pPr>
      <w:r w:rsidRPr="00D5320C">
        <w:rPr>
          <w:b/>
          <w:sz w:val="24"/>
          <w:szCs w:val="24"/>
        </w:rPr>
        <w:t>P</w:t>
      </w:r>
      <w:r w:rsidR="009B37C8">
        <w:rPr>
          <w:b/>
          <w:sz w:val="24"/>
          <w:szCs w:val="24"/>
        </w:rPr>
        <w:t>l</w:t>
      </w:r>
      <w:r w:rsidRPr="00D5320C">
        <w:rPr>
          <w:b/>
          <w:sz w:val="24"/>
          <w:szCs w:val="24"/>
        </w:rPr>
        <w:t>aučių ligomis sergančių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61CA9CE5" w14:textId="77777777">
        <w:tc>
          <w:tcPr>
            <w:tcW w:w="3544" w:type="dxa"/>
          </w:tcPr>
          <w:p w14:paraId="316D1976" w14:textId="77777777" w:rsidR="008C3617" w:rsidRDefault="00D02CE4" w:rsidP="00090D46">
            <w:pPr>
              <w:spacing w:after="0" w:line="240" w:lineRule="auto"/>
              <w:jc w:val="both"/>
              <w:rPr>
                <w:b/>
              </w:rPr>
            </w:pPr>
            <w:r>
              <w:rPr>
                <w:b/>
              </w:rPr>
              <w:t>Rizikos ligos/būklės</w:t>
            </w:r>
          </w:p>
        </w:tc>
        <w:tc>
          <w:tcPr>
            <w:tcW w:w="3544" w:type="dxa"/>
          </w:tcPr>
          <w:p w14:paraId="4176A340" w14:textId="77777777" w:rsidR="008C3617" w:rsidRDefault="00D02CE4" w:rsidP="00090D46">
            <w:pPr>
              <w:spacing w:after="0" w:line="240" w:lineRule="auto"/>
              <w:jc w:val="both"/>
              <w:rPr>
                <w:b/>
              </w:rPr>
            </w:pPr>
            <w:r>
              <w:rPr>
                <w:b/>
              </w:rPr>
              <w:t>Rekomenduojamos vakcinos</w:t>
            </w:r>
          </w:p>
        </w:tc>
        <w:tc>
          <w:tcPr>
            <w:tcW w:w="4111" w:type="dxa"/>
          </w:tcPr>
          <w:p w14:paraId="7F61B0DA" w14:textId="77777777" w:rsidR="008C3617" w:rsidRDefault="00D02CE4" w:rsidP="00090D46">
            <w:pPr>
              <w:spacing w:after="0" w:line="240" w:lineRule="auto"/>
              <w:jc w:val="both"/>
              <w:rPr>
                <w:b/>
              </w:rPr>
            </w:pPr>
            <w:r>
              <w:rPr>
                <w:b/>
              </w:rPr>
              <w:t>Pastabos dėl vakcinų vartojimo</w:t>
            </w:r>
          </w:p>
        </w:tc>
      </w:tr>
      <w:tr w:rsidR="00675AC3" w14:paraId="63FECBEE" w14:textId="77777777">
        <w:trPr>
          <w:trHeight w:val="652"/>
        </w:trPr>
        <w:tc>
          <w:tcPr>
            <w:tcW w:w="3544" w:type="dxa"/>
            <w:vMerge w:val="restart"/>
          </w:tcPr>
          <w:p w14:paraId="34F1E737" w14:textId="21D440C0" w:rsidR="00675AC3" w:rsidRPr="00675AC3" w:rsidRDefault="00675AC3" w:rsidP="00090D46">
            <w:pPr>
              <w:spacing w:after="0" w:line="240" w:lineRule="auto"/>
              <w:jc w:val="both"/>
              <w:rPr>
                <w:b/>
                <w:color w:val="000000" w:themeColor="text1"/>
              </w:rPr>
            </w:pPr>
            <w:r w:rsidRPr="00675AC3">
              <w:rPr>
                <w:b/>
                <w:color w:val="000000" w:themeColor="text1"/>
              </w:rPr>
              <w:t>Lėtinė obstrukcinė plaučių liga</w:t>
            </w:r>
          </w:p>
          <w:p w14:paraId="3F4003A5" w14:textId="625AE50B" w:rsidR="00675AC3" w:rsidRPr="00DB65A5" w:rsidRDefault="00675AC3" w:rsidP="009B37C8">
            <w:pPr>
              <w:spacing w:after="0" w:line="240" w:lineRule="auto"/>
            </w:pPr>
            <w:r w:rsidRPr="00CA49B3">
              <w:rPr>
                <w:b/>
              </w:rPr>
              <w:t>Astma</w:t>
            </w:r>
            <w:r>
              <w:t xml:space="preserve"> (nuolat vartojantiems dideles inhaliuojamųjų gliukokortikoidų dozes (žr. pastabas) ar geriamuosius gliukokortikoidus)</w:t>
            </w:r>
          </w:p>
        </w:tc>
        <w:tc>
          <w:tcPr>
            <w:tcW w:w="3544" w:type="dxa"/>
          </w:tcPr>
          <w:p w14:paraId="15D8A28B" w14:textId="4D72A787" w:rsidR="00675AC3" w:rsidRDefault="00675AC3" w:rsidP="00090D46">
            <w:pPr>
              <w:spacing w:after="0" w:line="240" w:lineRule="auto"/>
              <w:jc w:val="both"/>
            </w:pPr>
            <w:r>
              <w:t>Sezoninė gripo vakcina</w:t>
            </w:r>
          </w:p>
        </w:tc>
        <w:tc>
          <w:tcPr>
            <w:tcW w:w="4111" w:type="dxa"/>
          </w:tcPr>
          <w:p w14:paraId="32E05A8E" w14:textId="358D8554" w:rsidR="00675AC3" w:rsidRDefault="00675AC3" w:rsidP="00090D46">
            <w:pPr>
              <w:spacing w:after="0" w:line="240" w:lineRule="auto"/>
              <w:jc w:val="both"/>
            </w:pPr>
            <w:r>
              <w:t xml:space="preserve">1 dozė </w:t>
            </w:r>
            <w:r w:rsidRPr="006A2DE6">
              <w:t>kasmet</w:t>
            </w:r>
            <w:r>
              <w:t xml:space="preserve"> prieš gripo sezoną.</w:t>
            </w:r>
          </w:p>
        </w:tc>
      </w:tr>
      <w:tr w:rsidR="00675AC3" w14:paraId="404840BA" w14:textId="77777777" w:rsidTr="00675AC3">
        <w:trPr>
          <w:trHeight w:val="1915"/>
        </w:trPr>
        <w:tc>
          <w:tcPr>
            <w:tcW w:w="3544" w:type="dxa"/>
            <w:vMerge/>
          </w:tcPr>
          <w:p w14:paraId="40E25B34" w14:textId="77777777" w:rsidR="00675AC3" w:rsidRDefault="00675AC3" w:rsidP="00090D46">
            <w:pPr>
              <w:spacing w:after="0" w:line="240" w:lineRule="auto"/>
              <w:jc w:val="both"/>
            </w:pPr>
          </w:p>
        </w:tc>
        <w:tc>
          <w:tcPr>
            <w:tcW w:w="3544" w:type="dxa"/>
          </w:tcPr>
          <w:p w14:paraId="1B070E51" w14:textId="669B2FA8" w:rsidR="00675AC3" w:rsidRDefault="00675AC3" w:rsidP="00090D46">
            <w:pPr>
              <w:spacing w:after="0" w:line="240" w:lineRule="auto"/>
              <w:jc w:val="both"/>
            </w:pPr>
            <w:r>
              <w:t>Pneumokokinė vakcina</w:t>
            </w:r>
          </w:p>
        </w:tc>
        <w:tc>
          <w:tcPr>
            <w:tcW w:w="4111" w:type="dxa"/>
          </w:tcPr>
          <w:p w14:paraId="528CE191" w14:textId="77777777" w:rsidR="00675AC3" w:rsidRPr="000344CC" w:rsidRDefault="00675AC3" w:rsidP="000344CC">
            <w:pPr>
              <w:spacing w:after="0" w:line="240" w:lineRule="auto"/>
              <w:jc w:val="both"/>
              <w:rPr>
                <w:lang w:val="lt-LT"/>
              </w:rPr>
            </w:pPr>
            <w:r w:rsidRPr="000344CC">
              <w:rPr>
                <w:lang w:val="lt-LT"/>
              </w:rPr>
              <w:t>Asmenys, kurie anksčiau nebuvo skiepyti pneumokokine vakcina (PKV13 ar PPSV23): 1 dozė PKV13.</w:t>
            </w:r>
          </w:p>
          <w:p w14:paraId="06994066" w14:textId="46F513E1" w:rsidR="00675AC3" w:rsidRDefault="00675AC3" w:rsidP="000344CC">
            <w:pPr>
              <w:jc w:val="both"/>
            </w:pPr>
            <w:r w:rsidRPr="000344CC">
              <w:rPr>
                <w:lang w:val="lt-LT"/>
              </w:rPr>
              <w:t>Asmenys, kurie anksčiau buvo skiepyti PPSV23, bet nebuvo skiepyti PKV13: papildomai turėtų būti paskiepyti PKV13 praėjus mažiausiai 1 metams po PPSV23.</w:t>
            </w:r>
          </w:p>
        </w:tc>
      </w:tr>
      <w:tr w:rsidR="00675AC3" w14:paraId="2987A991" w14:textId="77777777">
        <w:trPr>
          <w:trHeight w:val="1838"/>
        </w:trPr>
        <w:tc>
          <w:tcPr>
            <w:tcW w:w="3544" w:type="dxa"/>
            <w:vMerge/>
          </w:tcPr>
          <w:p w14:paraId="0E89EA07" w14:textId="77777777" w:rsidR="00675AC3" w:rsidRDefault="00675AC3" w:rsidP="00090D46">
            <w:pPr>
              <w:spacing w:after="0" w:line="240" w:lineRule="auto"/>
              <w:jc w:val="both"/>
            </w:pPr>
          </w:p>
        </w:tc>
        <w:tc>
          <w:tcPr>
            <w:tcW w:w="3544" w:type="dxa"/>
          </w:tcPr>
          <w:p w14:paraId="5BE3C7CA" w14:textId="6EE63A29" w:rsidR="00675AC3" w:rsidRDefault="00912C08" w:rsidP="00090D46">
            <w:pPr>
              <w:jc w:val="both"/>
            </w:pPr>
            <w:r>
              <w:t>Erkinio encefalito vakcina</w:t>
            </w:r>
          </w:p>
        </w:tc>
        <w:tc>
          <w:tcPr>
            <w:tcW w:w="4111" w:type="dxa"/>
          </w:tcPr>
          <w:p w14:paraId="4C746D08" w14:textId="6AD44680" w:rsidR="00675AC3" w:rsidRPr="000344CC" w:rsidRDefault="00675AC3" w:rsidP="000344CC">
            <w:pPr>
              <w:jc w:val="both"/>
              <w:rPr>
                <w:lang w:val="lt-LT"/>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FE64EB">
              <w:rPr>
                <w:color w:val="000000"/>
              </w:rPr>
              <w:t xml:space="preserve"> </w:t>
            </w:r>
            <w:r w:rsidR="00FE64EB" w:rsidRPr="007A76BB">
              <w:rPr>
                <w:color w:val="000000"/>
              </w:rPr>
              <w:t xml:space="preserve">Revakcinacija kas </w:t>
            </w:r>
            <w:r w:rsidR="00FE64EB" w:rsidRPr="0004367C">
              <w:rPr>
                <w:color w:val="000000" w:themeColor="text1"/>
              </w:rPr>
              <w:t>3 -5 metai (priklausomai nuo vakcinos gamintojo).</w:t>
            </w:r>
          </w:p>
        </w:tc>
      </w:tr>
    </w:tbl>
    <w:p w14:paraId="0EB5992D" w14:textId="77777777" w:rsidR="008C3617" w:rsidRDefault="008C3617">
      <w:pPr>
        <w:jc w:val="both"/>
      </w:pPr>
    </w:p>
    <w:p w14:paraId="7B39CBA5" w14:textId="2A4A5C9E" w:rsidR="00DB65A5" w:rsidRPr="00A52D8F" w:rsidRDefault="0011209C" w:rsidP="00B937F9">
      <w:pPr>
        <w:widowControl w:val="0"/>
        <w:autoSpaceDE w:val="0"/>
        <w:autoSpaceDN w:val="0"/>
        <w:adjustRightInd w:val="0"/>
        <w:spacing w:after="0"/>
        <w:rPr>
          <w:b/>
        </w:rPr>
      </w:pPr>
      <w:r w:rsidRPr="00A52D8F">
        <w:rPr>
          <w:b/>
        </w:rPr>
        <w:t>Pastabos:</w:t>
      </w:r>
    </w:p>
    <w:p w14:paraId="10B295B7" w14:textId="248E1EA1" w:rsidR="00DB65A5" w:rsidRDefault="00DB65A5" w:rsidP="00B937F9">
      <w:pPr>
        <w:widowControl w:val="0"/>
        <w:autoSpaceDE w:val="0"/>
        <w:autoSpaceDN w:val="0"/>
        <w:adjustRightInd w:val="0"/>
        <w:spacing w:after="0"/>
        <w:rPr>
          <w:rFonts w:eastAsia="SimSun" w:cs="Calibri"/>
          <w:lang w:eastAsia="zh-CN"/>
        </w:rPr>
      </w:pPr>
      <w:r>
        <w:t>Didelės inhaliuojamųjų gliukokortikoidų dozės yra:</w:t>
      </w:r>
    </w:p>
    <w:p w14:paraId="3900E6C8" w14:textId="0942C401" w:rsidR="00DB65A5" w:rsidRPr="00DB65A5" w:rsidRDefault="00DB65A5" w:rsidP="00B937F9">
      <w:pPr>
        <w:pStyle w:val="ListParagraph"/>
        <w:widowControl w:val="0"/>
        <w:numPr>
          <w:ilvl w:val="0"/>
          <w:numId w:val="14"/>
        </w:numPr>
        <w:autoSpaceDE w:val="0"/>
        <w:autoSpaceDN w:val="0"/>
        <w:adjustRightInd w:val="0"/>
        <w:spacing w:after="0"/>
        <w:rPr>
          <w:rFonts w:ascii="Times New Roman" w:eastAsia="SimSun" w:hAnsi="Times New Roman"/>
          <w:lang w:eastAsia="zh-CN"/>
        </w:rPr>
      </w:pPr>
      <w:r w:rsidRPr="00DB65A5">
        <w:rPr>
          <w:rFonts w:eastAsia="SimSun" w:cs="Calibri"/>
          <w:lang w:eastAsia="zh-CN"/>
        </w:rPr>
        <w:t>Beclometasonum propionatum (HFA) &gt; 400 mkg</w:t>
      </w:r>
      <w:r w:rsidR="00C43A73">
        <w:rPr>
          <w:rFonts w:eastAsia="SimSun" w:cs="Calibri"/>
          <w:lang w:eastAsia="zh-CN"/>
        </w:rPr>
        <w:t xml:space="preserve"> per parą</w:t>
      </w:r>
    </w:p>
    <w:p w14:paraId="72A26A29" w14:textId="40F865A4" w:rsidR="00DB65A5" w:rsidRPr="00DB65A5" w:rsidRDefault="00DB65A5" w:rsidP="00B937F9">
      <w:pPr>
        <w:pStyle w:val="ListParagraph"/>
        <w:widowControl w:val="0"/>
        <w:numPr>
          <w:ilvl w:val="0"/>
          <w:numId w:val="14"/>
        </w:numPr>
        <w:autoSpaceDE w:val="0"/>
        <w:autoSpaceDN w:val="0"/>
        <w:adjustRightInd w:val="0"/>
        <w:spacing w:after="0"/>
        <w:rPr>
          <w:rFonts w:ascii="Times New Roman" w:eastAsia="SimSun" w:hAnsi="Times New Roman"/>
          <w:lang w:eastAsia="zh-CN"/>
        </w:rPr>
      </w:pPr>
      <w:r w:rsidRPr="00DB65A5">
        <w:rPr>
          <w:rFonts w:eastAsia="SimSun" w:cs="Calibri"/>
          <w:lang w:eastAsia="zh-CN"/>
        </w:rPr>
        <w:t>Budesonidum &gt; 800 mkg</w:t>
      </w:r>
      <w:r w:rsidR="00C43A73">
        <w:rPr>
          <w:rFonts w:eastAsia="SimSun" w:cs="Calibri"/>
          <w:lang w:eastAsia="zh-CN"/>
        </w:rPr>
        <w:t xml:space="preserve"> per parą</w:t>
      </w:r>
    </w:p>
    <w:p w14:paraId="0545B096" w14:textId="14602A42" w:rsidR="00DB65A5" w:rsidRDefault="00DB65A5" w:rsidP="00B937F9">
      <w:pPr>
        <w:pStyle w:val="ListParagraph"/>
        <w:numPr>
          <w:ilvl w:val="0"/>
          <w:numId w:val="14"/>
        </w:numPr>
        <w:spacing w:after="120"/>
      </w:pPr>
      <w:r w:rsidRPr="00DB65A5">
        <w:rPr>
          <w:rFonts w:eastAsia="SimSun" w:cs="Calibri"/>
          <w:lang w:eastAsia="zh-CN"/>
        </w:rPr>
        <w:t>Fluticasonum propionatum  &gt; 500 mkg</w:t>
      </w:r>
      <w:r w:rsidR="00C43A73">
        <w:rPr>
          <w:rFonts w:eastAsia="SimSun" w:cs="Calibri"/>
          <w:lang w:eastAsia="zh-CN"/>
        </w:rPr>
        <w:t xml:space="preserve"> per parą</w:t>
      </w:r>
    </w:p>
    <w:p w14:paraId="01CFE42F" w14:textId="77777777" w:rsidR="0011209C" w:rsidRDefault="0011209C">
      <w:pPr>
        <w:spacing w:after="120"/>
      </w:pPr>
    </w:p>
    <w:p w14:paraId="67C20C11" w14:textId="709AED8E" w:rsidR="008C3617" w:rsidRPr="00A52D8F" w:rsidRDefault="0011209C">
      <w:pPr>
        <w:spacing w:after="120"/>
        <w:rPr>
          <w:b/>
        </w:rPr>
      </w:pPr>
      <w:r w:rsidRPr="00A52D8F">
        <w:rPr>
          <w:b/>
        </w:rPr>
        <w:t>Paaiškinimai:</w:t>
      </w:r>
    </w:p>
    <w:p w14:paraId="1A55D546" w14:textId="22C801CF" w:rsidR="008C3617" w:rsidRDefault="00D02CE4">
      <w:pPr>
        <w:spacing w:after="120"/>
      </w:pPr>
      <w:r>
        <w:t>PCV13 – pneumokokinė polisacharidinė konjuguota 13-valentė vakcina</w:t>
      </w:r>
    </w:p>
    <w:p w14:paraId="4255A9CA" w14:textId="10FA97E7" w:rsidR="008C3617" w:rsidRDefault="00D02CE4">
      <w:pPr>
        <w:spacing w:after="120"/>
      </w:pPr>
      <w:r>
        <w:t>PPSV23 – pneumokokinė polisacharidinė 23-valentė vakcina</w:t>
      </w:r>
    </w:p>
    <w:p w14:paraId="1F15A427" w14:textId="77777777" w:rsidR="0058477D" w:rsidRDefault="0058477D">
      <w:pPr>
        <w:jc w:val="both"/>
      </w:pPr>
    </w:p>
    <w:p w14:paraId="6B5F85CB" w14:textId="77777777" w:rsidR="008C3617" w:rsidRDefault="00D02CE4">
      <w:pPr>
        <w:jc w:val="both"/>
      </w:pPr>
      <w:r w:rsidRPr="00A52D8F">
        <w:rPr>
          <w:b/>
        </w:rPr>
        <w:t>Literatūros šaltiniai</w:t>
      </w:r>
      <w:r>
        <w:t>:</w:t>
      </w:r>
    </w:p>
    <w:p w14:paraId="56F351E3" w14:textId="77777777" w:rsidR="00BD6199" w:rsidRPr="00BD6199" w:rsidRDefault="00BD6199" w:rsidP="00BD6199">
      <w:pPr>
        <w:pStyle w:val="ListParagraph1"/>
        <w:numPr>
          <w:ilvl w:val="0"/>
          <w:numId w:val="8"/>
        </w:numPr>
        <w:jc w:val="both"/>
      </w:pPr>
      <w:r w:rsidRPr="00BD6199">
        <w:t xml:space="preserve">Black C.L., Williams W.W., Warnock R., Pilishvili T., Kim D., Kelman J.A. Pneumococcal Vaccination Among Medicare Beneficiaries Occurring After the Advisory Committee on Immunization Practices Recommendation for Routine Use Of 13-Valent Pneumococcal Conjugate Vaccine and 23-Valent </w:t>
      </w:r>
      <w:r w:rsidRPr="00BD6199">
        <w:lastRenderedPageBreak/>
        <w:t>Pneumococcal Polysaccharide Vaccine for Adults Aged ≥65 Years. MMWR Morb Mortal Wkly Rep. 2017; 66 (27): 728-733.</w:t>
      </w:r>
    </w:p>
    <w:p w14:paraId="48D3F655" w14:textId="069DF6BF" w:rsidR="00BD6199" w:rsidRPr="00BD6199" w:rsidRDefault="00BD6199" w:rsidP="00BD6199">
      <w:pPr>
        <w:pStyle w:val="ListParagraph1"/>
        <w:numPr>
          <w:ilvl w:val="0"/>
          <w:numId w:val="8"/>
        </w:numPr>
        <w:jc w:val="both"/>
      </w:pPr>
      <w:r w:rsidRPr="00BD6199">
        <w:t xml:space="preserve">Danila E., Sakalauskas R., Zablockis R., Malakauskas K., Bagdonas A., Biekšienė K., Kiziela A., Blažienė A., Nargėla R., Šileikienė V., Valavičius A., Zolubas M., Žemaitis M. Lėtinės obstrukcinės plaučių ligos ligos diagnostika ir gydymas - Lietuvos pulmonologų sutarimas. Vilnius, 2015. </w:t>
      </w:r>
    </w:p>
    <w:p w14:paraId="462D098B" w14:textId="743AB463" w:rsidR="00BD6199" w:rsidRDefault="00BD6199" w:rsidP="00BD6199">
      <w:pPr>
        <w:pStyle w:val="ListParagraph1"/>
        <w:numPr>
          <w:ilvl w:val="0"/>
          <w:numId w:val="8"/>
        </w:numPr>
        <w:jc w:val="both"/>
      </w:pPr>
      <w:r w:rsidRPr="00BD6199">
        <w:t>Ewig S., Höffken G., Kern W.V., Rohde G., Flick H., Krause R., Ott S., Bauer T., Dalhoff K., Gatermann S., Kolditz M., Krüger S., Lorenz J., Pletz M., de Roux A., Schaaf B., Schaberg T., Schütte H., Welte T. Behandlung von erwachsensen Patienten mit ambulant erworbener Pneumonie und Pravention –Update 2016. Pneumologie. 2016; 70(3): 151-200</w:t>
      </w:r>
    </w:p>
    <w:p w14:paraId="55241C6D" w14:textId="77777777" w:rsidR="00BD6199" w:rsidRPr="00BD6199" w:rsidRDefault="00BD6199" w:rsidP="00BD6199">
      <w:pPr>
        <w:pStyle w:val="ListParagraph1"/>
        <w:numPr>
          <w:ilvl w:val="0"/>
          <w:numId w:val="8"/>
        </w:numPr>
        <w:jc w:val="both"/>
      </w:pPr>
      <w:r w:rsidRPr="00BD6199">
        <w:t>Global Strategy for Asthma Management and Prevention, 2017. www.ginasthma.org</w:t>
      </w:r>
    </w:p>
    <w:p w14:paraId="2ECED3D6" w14:textId="77777777" w:rsidR="00BD6199" w:rsidRPr="00BD6199" w:rsidRDefault="00BD6199" w:rsidP="00BD6199">
      <w:pPr>
        <w:pStyle w:val="ListParagraph1"/>
        <w:numPr>
          <w:ilvl w:val="0"/>
          <w:numId w:val="8"/>
        </w:numPr>
        <w:jc w:val="both"/>
      </w:pPr>
      <w:r w:rsidRPr="00BD6199">
        <w:t>Global Strategy for the Diagnosis, Management and Prevention of Chronic Obstructive Pulmonary Disease, 2017. www.goldcopd.org</w:t>
      </w:r>
    </w:p>
    <w:p w14:paraId="02B8245E" w14:textId="77777777" w:rsidR="00BD6199" w:rsidRPr="00BD6199" w:rsidRDefault="00BD6199" w:rsidP="00BD6199">
      <w:pPr>
        <w:pStyle w:val="ListParagraph1"/>
        <w:numPr>
          <w:ilvl w:val="0"/>
          <w:numId w:val="8"/>
        </w:numPr>
      </w:pPr>
      <w:r w:rsidRPr="00BD6199">
        <w:t xml:space="preserve">Sakalauskas R., Danila E., Malakauskas K., Zablockis R., Bagdonas A., Biekšienė K., Blažienė A., Kiziela A., Kvedarienė V., Leišytė P., Miliauskas S., Nargėla R., Šileikienė V., Šitkauskienė B., Valavičius A., Zolubas. Lietuvos suaugusiųjų astmos diagnostikos ir gydymo sutarimas. Kaunas, 2015. </w:t>
      </w:r>
    </w:p>
    <w:p w14:paraId="5F42B045" w14:textId="77777777" w:rsidR="00BD6199" w:rsidRPr="00BD6199" w:rsidRDefault="00BD6199" w:rsidP="00BD6199">
      <w:pPr>
        <w:pStyle w:val="ListParagraph1"/>
        <w:numPr>
          <w:ilvl w:val="0"/>
          <w:numId w:val="8"/>
        </w:numPr>
      </w:pPr>
      <w:r w:rsidRPr="00BD6199">
        <w:t>Sakalauskas R., Danila E., Malakauskas K., Zablockis R., Vitkauskienė A., Ambrazaitienė R., Bagdonas A., Blažienė A., Miliauskas S., Nargėla R., Valavičius A., Zolubas. Suaugusiųjų pneumonijos diagnostika ir gydymas - Lietuvos pulmonologų sutarimas. Kaunas, 2016.</w:t>
      </w:r>
    </w:p>
    <w:p w14:paraId="4A9CADAA" w14:textId="0E157DB4" w:rsidR="008C3617" w:rsidRDefault="00925AB1" w:rsidP="00F317D9">
      <w:pPr>
        <w:pStyle w:val="ListParagraph1"/>
        <w:numPr>
          <w:ilvl w:val="0"/>
          <w:numId w:val="8"/>
        </w:numPr>
      </w:pPr>
      <w:r>
        <w:t xml:space="preserve">Vogelmeir et al. </w:t>
      </w:r>
      <w:r w:rsidR="00D02CE4">
        <w:t>Global strategy for the diagnosis, m</w:t>
      </w:r>
      <w:r w:rsidR="00F317D9">
        <w:t>anagement and prevention of chronic obstructive lung disease</w:t>
      </w:r>
      <w:r>
        <w:t xml:space="preserve"> 2017. Am J Respir Crit Care Med 2017;195:</w:t>
      </w:r>
      <w:r w:rsidR="00F317D9">
        <w:t xml:space="preserve"> </w:t>
      </w:r>
      <w:r>
        <w:t>557-582</w:t>
      </w:r>
      <w:r w:rsidR="00D02CE4">
        <w:t>.</w:t>
      </w:r>
    </w:p>
    <w:p w14:paraId="39CF7ACB" w14:textId="77777777" w:rsidR="00F12E01" w:rsidRPr="005A3565" w:rsidRDefault="00F12E01" w:rsidP="00F12E01">
      <w:pPr>
        <w:numPr>
          <w:ilvl w:val="0"/>
          <w:numId w:val="8"/>
        </w:numPr>
        <w:spacing w:after="0" w:line="240" w:lineRule="auto"/>
        <w:jc w:val="both"/>
        <w:rPr>
          <w:bCs/>
          <w:color w:val="000000"/>
          <w:lang w:val="lt-LT"/>
        </w:rPr>
      </w:pPr>
      <w:r w:rsidRPr="005A3565">
        <w:rPr>
          <w:bCs/>
          <w:color w:val="000000"/>
          <w:lang w:val="lt-LT"/>
        </w:rPr>
        <w:t>Sogaard et al. Incidence and outcomes of patients hospitalized with COPD exacerbation with and without pneumonia. Int J Chron Obstruct Pulmon Dis 2016;11:455</w:t>
      </w:r>
    </w:p>
    <w:p w14:paraId="42831528" w14:textId="77777777" w:rsidR="00F12E01" w:rsidRDefault="00F12E01" w:rsidP="00F12E01">
      <w:pPr>
        <w:pStyle w:val="ListParagraph1"/>
        <w:jc w:val="both"/>
      </w:pPr>
    </w:p>
    <w:p w14:paraId="5C2F4DF2" w14:textId="77777777" w:rsidR="00A622BD" w:rsidRDefault="00A622BD">
      <w:pPr>
        <w:jc w:val="both"/>
        <w:rPr>
          <w:b/>
          <w:sz w:val="24"/>
          <w:szCs w:val="24"/>
        </w:rPr>
      </w:pPr>
    </w:p>
    <w:p w14:paraId="604D976E" w14:textId="29F5B725" w:rsidR="008C3617" w:rsidRPr="00D5320C" w:rsidRDefault="00D5320C" w:rsidP="00C84CC9">
      <w:pPr>
        <w:pStyle w:val="ListParagraph"/>
        <w:numPr>
          <w:ilvl w:val="0"/>
          <w:numId w:val="2"/>
        </w:numPr>
        <w:jc w:val="both"/>
        <w:rPr>
          <w:b/>
          <w:sz w:val="24"/>
          <w:szCs w:val="24"/>
        </w:rPr>
      </w:pPr>
      <w:r w:rsidRPr="00D5320C">
        <w:rPr>
          <w:b/>
          <w:sz w:val="24"/>
          <w:szCs w:val="24"/>
        </w:rPr>
        <w:t>Širdies ligomis sergančių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1B7092D5" w14:textId="77777777">
        <w:tc>
          <w:tcPr>
            <w:tcW w:w="3544" w:type="dxa"/>
          </w:tcPr>
          <w:p w14:paraId="1BB74C9A" w14:textId="77777777" w:rsidR="008C3617" w:rsidRDefault="00D02CE4" w:rsidP="00BA5150">
            <w:pPr>
              <w:spacing w:after="0" w:line="240" w:lineRule="auto"/>
              <w:jc w:val="both"/>
              <w:rPr>
                <w:b/>
              </w:rPr>
            </w:pPr>
            <w:r>
              <w:rPr>
                <w:b/>
              </w:rPr>
              <w:t>Rizikos ligos/būklės</w:t>
            </w:r>
          </w:p>
        </w:tc>
        <w:tc>
          <w:tcPr>
            <w:tcW w:w="3544" w:type="dxa"/>
          </w:tcPr>
          <w:p w14:paraId="62026A2A" w14:textId="77777777" w:rsidR="008C3617" w:rsidRDefault="00D02CE4" w:rsidP="00BA5150">
            <w:pPr>
              <w:spacing w:after="0" w:line="240" w:lineRule="auto"/>
              <w:jc w:val="both"/>
              <w:rPr>
                <w:b/>
              </w:rPr>
            </w:pPr>
            <w:r>
              <w:rPr>
                <w:b/>
              </w:rPr>
              <w:t>Rekomenduojamos vakcinos</w:t>
            </w:r>
          </w:p>
        </w:tc>
        <w:tc>
          <w:tcPr>
            <w:tcW w:w="4111" w:type="dxa"/>
          </w:tcPr>
          <w:p w14:paraId="11AFAC45" w14:textId="77777777" w:rsidR="008C3617" w:rsidRDefault="00D02CE4" w:rsidP="00BA5150">
            <w:pPr>
              <w:spacing w:after="0" w:line="240" w:lineRule="auto"/>
              <w:jc w:val="both"/>
              <w:rPr>
                <w:b/>
              </w:rPr>
            </w:pPr>
            <w:r>
              <w:rPr>
                <w:b/>
              </w:rPr>
              <w:t>Pastabos dėl vakcinų vartojimo</w:t>
            </w:r>
          </w:p>
        </w:tc>
      </w:tr>
      <w:tr w:rsidR="00912C08" w14:paraId="43E34E21" w14:textId="77777777">
        <w:trPr>
          <w:trHeight w:val="322"/>
        </w:trPr>
        <w:tc>
          <w:tcPr>
            <w:tcW w:w="3544" w:type="dxa"/>
            <w:vMerge w:val="restart"/>
          </w:tcPr>
          <w:p w14:paraId="289386EA" w14:textId="77777777" w:rsidR="00587DA0" w:rsidRDefault="00912C08" w:rsidP="006D2E64">
            <w:pPr>
              <w:spacing w:after="0" w:line="240" w:lineRule="auto"/>
              <w:rPr>
                <w:b/>
              </w:rPr>
            </w:pPr>
            <w:r w:rsidRPr="006D2E64">
              <w:rPr>
                <w:b/>
              </w:rPr>
              <w:t>Mėlynosios (cianotinės)</w:t>
            </w:r>
          </w:p>
          <w:p w14:paraId="0223AE01" w14:textId="3EAB801F" w:rsidR="00912C08" w:rsidRPr="006D2E64" w:rsidRDefault="00912C08" w:rsidP="006D2E64">
            <w:pPr>
              <w:spacing w:after="0" w:line="240" w:lineRule="auto"/>
              <w:rPr>
                <w:b/>
              </w:rPr>
            </w:pPr>
            <w:r w:rsidRPr="006D2E64">
              <w:rPr>
                <w:b/>
              </w:rPr>
              <w:t xml:space="preserve"> įgimtos širdies ydos</w:t>
            </w:r>
          </w:p>
          <w:p w14:paraId="2DD7172F" w14:textId="77777777" w:rsidR="00912C08" w:rsidRPr="006D2E64" w:rsidRDefault="00912C08" w:rsidP="006D2E64">
            <w:pPr>
              <w:spacing w:after="0" w:line="240" w:lineRule="auto"/>
              <w:rPr>
                <w:b/>
              </w:rPr>
            </w:pPr>
            <w:r w:rsidRPr="006D2E64">
              <w:rPr>
                <w:b/>
              </w:rPr>
              <w:t>Plautinė hipertenzija</w:t>
            </w:r>
          </w:p>
          <w:p w14:paraId="2FA1301B" w14:textId="77777777" w:rsidR="00912C08" w:rsidRPr="006D2E64" w:rsidRDefault="00912C08" w:rsidP="006D2E64">
            <w:pPr>
              <w:spacing w:after="0" w:line="240" w:lineRule="auto"/>
              <w:rPr>
                <w:b/>
              </w:rPr>
            </w:pPr>
            <w:r w:rsidRPr="006D2E64">
              <w:rPr>
                <w:b/>
              </w:rPr>
              <w:t>Širdies nepakankamumas</w:t>
            </w:r>
          </w:p>
          <w:p w14:paraId="55BF57F8" w14:textId="77777777" w:rsidR="00912C08" w:rsidRDefault="00912C08" w:rsidP="006D2E64">
            <w:pPr>
              <w:spacing w:after="0" w:line="240" w:lineRule="auto"/>
            </w:pPr>
            <w:r w:rsidRPr="006D2E64">
              <w:rPr>
                <w:b/>
              </w:rPr>
              <w:t>Kardiomiopatijos</w:t>
            </w:r>
          </w:p>
        </w:tc>
        <w:tc>
          <w:tcPr>
            <w:tcW w:w="3544" w:type="dxa"/>
          </w:tcPr>
          <w:p w14:paraId="289EAEF8" w14:textId="672D67EF" w:rsidR="00912C08" w:rsidRDefault="00912C08" w:rsidP="00BA5150">
            <w:pPr>
              <w:spacing w:after="0" w:line="240" w:lineRule="auto"/>
              <w:jc w:val="both"/>
            </w:pPr>
            <w:r>
              <w:t>Sezoninė gripo vakcina</w:t>
            </w:r>
          </w:p>
        </w:tc>
        <w:tc>
          <w:tcPr>
            <w:tcW w:w="4111" w:type="dxa"/>
          </w:tcPr>
          <w:p w14:paraId="6AAB2CD1" w14:textId="4F37FB70" w:rsidR="00912C08" w:rsidRDefault="00912C08" w:rsidP="00BA5150">
            <w:pPr>
              <w:spacing w:after="0" w:line="240" w:lineRule="auto"/>
              <w:jc w:val="both"/>
            </w:pPr>
            <w:r>
              <w:t xml:space="preserve">1 dozė </w:t>
            </w:r>
            <w:r w:rsidRPr="006A2DE6">
              <w:t>kasmet</w:t>
            </w:r>
            <w:r>
              <w:t xml:space="preserve"> prieš gripo sezoną.</w:t>
            </w:r>
          </w:p>
        </w:tc>
      </w:tr>
      <w:tr w:rsidR="00912C08" w14:paraId="6D989F44" w14:textId="77777777">
        <w:trPr>
          <w:trHeight w:val="1312"/>
        </w:trPr>
        <w:tc>
          <w:tcPr>
            <w:tcW w:w="3544" w:type="dxa"/>
            <w:vMerge/>
          </w:tcPr>
          <w:p w14:paraId="023919AA" w14:textId="77777777" w:rsidR="00912C08" w:rsidRDefault="00912C08" w:rsidP="00BA5150">
            <w:pPr>
              <w:spacing w:after="0" w:line="240" w:lineRule="auto"/>
              <w:jc w:val="both"/>
            </w:pPr>
          </w:p>
        </w:tc>
        <w:tc>
          <w:tcPr>
            <w:tcW w:w="3544" w:type="dxa"/>
          </w:tcPr>
          <w:p w14:paraId="1E1675FB" w14:textId="2F955AA0" w:rsidR="00912C08" w:rsidRDefault="00912C08" w:rsidP="00BA5150">
            <w:pPr>
              <w:spacing w:after="0" w:line="240" w:lineRule="auto"/>
              <w:jc w:val="both"/>
            </w:pPr>
            <w:r>
              <w:t>Pneumokokinė vakcina</w:t>
            </w:r>
          </w:p>
        </w:tc>
        <w:tc>
          <w:tcPr>
            <w:tcW w:w="4111" w:type="dxa"/>
          </w:tcPr>
          <w:p w14:paraId="28245C94" w14:textId="77777777" w:rsidR="00912C08" w:rsidRPr="007B6AC2" w:rsidRDefault="00912C08" w:rsidP="007B6AC2">
            <w:pPr>
              <w:spacing w:after="0" w:line="240" w:lineRule="auto"/>
              <w:jc w:val="both"/>
              <w:rPr>
                <w:lang w:val="lt-LT"/>
              </w:rPr>
            </w:pPr>
            <w:r w:rsidRPr="007B6AC2">
              <w:rPr>
                <w:lang w:val="lt-LT"/>
              </w:rPr>
              <w:t>Asmenys, kurie anksčiau nebuvo skiepyti pneumokokine vakcina (PKV13 ar PPSV23): 1 dozė PKV13.</w:t>
            </w:r>
          </w:p>
          <w:p w14:paraId="738C6F59" w14:textId="160073AF" w:rsidR="00912C08" w:rsidRDefault="00912C08" w:rsidP="007B6AC2">
            <w:pPr>
              <w:spacing w:after="0" w:line="240" w:lineRule="auto"/>
              <w:jc w:val="both"/>
            </w:pPr>
            <w:r w:rsidRPr="007B6AC2">
              <w:rPr>
                <w:lang w:val="lt-LT"/>
              </w:rPr>
              <w:t>Asmenys, kurie anksčiau buvo skiepyti PPSV23, bet nebuvo skiepyti PKV13: papildomai turėtų būti paskiepyti PKV13 praėjus mažiausiai 1 metams po PPSV23.</w:t>
            </w:r>
          </w:p>
        </w:tc>
      </w:tr>
      <w:tr w:rsidR="00912C08" w14:paraId="3C989F4A" w14:textId="77777777" w:rsidTr="00912C08">
        <w:trPr>
          <w:trHeight w:val="1025"/>
        </w:trPr>
        <w:tc>
          <w:tcPr>
            <w:tcW w:w="3544" w:type="dxa"/>
            <w:vMerge/>
          </w:tcPr>
          <w:p w14:paraId="1322F050" w14:textId="77777777" w:rsidR="00912C08" w:rsidRDefault="00912C08" w:rsidP="00BA5150">
            <w:pPr>
              <w:spacing w:after="0" w:line="240" w:lineRule="auto"/>
              <w:jc w:val="both"/>
            </w:pPr>
          </w:p>
        </w:tc>
        <w:tc>
          <w:tcPr>
            <w:tcW w:w="3544" w:type="dxa"/>
          </w:tcPr>
          <w:p w14:paraId="3E69E33C" w14:textId="54866C30" w:rsidR="00912C08" w:rsidRDefault="00912C08" w:rsidP="00BA5150">
            <w:pPr>
              <w:spacing w:after="0" w:line="240" w:lineRule="auto"/>
              <w:jc w:val="both"/>
            </w:pPr>
            <w:r>
              <w:t>Td arba Tdap vakcina</w:t>
            </w:r>
          </w:p>
        </w:tc>
        <w:tc>
          <w:tcPr>
            <w:tcW w:w="4111" w:type="dxa"/>
          </w:tcPr>
          <w:p w14:paraId="7F3F5B25" w14:textId="0118ECEF" w:rsidR="00912C08" w:rsidRDefault="00912C08" w:rsidP="00FA70BF">
            <w:r>
              <w:t xml:space="preserve">1 dozė kas 10 metų </w:t>
            </w:r>
            <w:r w:rsidRPr="00FA70BF">
              <w:t xml:space="preserve">(Td vakcina), </w:t>
            </w:r>
            <w:r w:rsidRPr="00FA70BF">
              <w:rPr>
                <w:lang w:val="lt-LT"/>
              </w:rPr>
              <w:t>vieną revakcinaciją Td vakcina pakeisti revakcinacija nuo kokliušo, difterijos ir stabligės (Tdap vakcina), esant galimybei.</w:t>
            </w:r>
          </w:p>
        </w:tc>
      </w:tr>
      <w:tr w:rsidR="00912C08" w14:paraId="562CA610" w14:textId="77777777">
        <w:trPr>
          <w:trHeight w:val="1923"/>
        </w:trPr>
        <w:tc>
          <w:tcPr>
            <w:tcW w:w="3544" w:type="dxa"/>
            <w:vMerge/>
          </w:tcPr>
          <w:p w14:paraId="175A82C3" w14:textId="77777777" w:rsidR="00912C08" w:rsidRDefault="00912C08" w:rsidP="00BA5150">
            <w:pPr>
              <w:spacing w:after="0" w:line="240" w:lineRule="auto"/>
              <w:jc w:val="both"/>
            </w:pPr>
          </w:p>
        </w:tc>
        <w:tc>
          <w:tcPr>
            <w:tcW w:w="3544" w:type="dxa"/>
          </w:tcPr>
          <w:p w14:paraId="06574411" w14:textId="0337FD04" w:rsidR="00912C08" w:rsidRDefault="00912C08" w:rsidP="00BA5150">
            <w:pPr>
              <w:jc w:val="both"/>
            </w:pPr>
            <w:r>
              <w:t>Erkinio encefalito vakcina</w:t>
            </w:r>
          </w:p>
        </w:tc>
        <w:tc>
          <w:tcPr>
            <w:tcW w:w="4111" w:type="dxa"/>
          </w:tcPr>
          <w:p w14:paraId="5CDAEFC1" w14:textId="5E7AD24C" w:rsidR="00912C08" w:rsidRDefault="00912C08" w:rsidP="00FA70BF">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E63578">
              <w:rPr>
                <w:color w:val="000000"/>
              </w:rPr>
              <w:t xml:space="preserve"> </w:t>
            </w:r>
            <w:r w:rsidR="00E63578" w:rsidRPr="007A76BB">
              <w:rPr>
                <w:color w:val="000000"/>
              </w:rPr>
              <w:t xml:space="preserve">Revakcinacija kas </w:t>
            </w:r>
            <w:r w:rsidR="00E63578" w:rsidRPr="0004367C">
              <w:rPr>
                <w:color w:val="000000" w:themeColor="text1"/>
              </w:rPr>
              <w:t>3 -5 metai (priklausomai nuo vakcinos gamintojo).</w:t>
            </w:r>
          </w:p>
        </w:tc>
      </w:tr>
      <w:tr w:rsidR="00CC6198" w14:paraId="65801A69" w14:textId="77777777">
        <w:trPr>
          <w:trHeight w:val="327"/>
        </w:trPr>
        <w:tc>
          <w:tcPr>
            <w:tcW w:w="3544" w:type="dxa"/>
            <w:vMerge w:val="restart"/>
          </w:tcPr>
          <w:p w14:paraId="2E9B8FDE" w14:textId="64F62536" w:rsidR="00CC6198" w:rsidRPr="006D2E64" w:rsidRDefault="00CC6198" w:rsidP="006D2E64">
            <w:pPr>
              <w:spacing w:after="0" w:line="240" w:lineRule="auto"/>
              <w:rPr>
                <w:b/>
              </w:rPr>
            </w:pPr>
            <w:r w:rsidRPr="006D2E64">
              <w:rPr>
                <w:b/>
              </w:rPr>
              <w:t xml:space="preserve">Lėtinės širdies ligos </w:t>
            </w:r>
            <w:r w:rsidRPr="008A5ED9">
              <w:t>(išskyrus arterinę hipertenziją)</w:t>
            </w:r>
          </w:p>
        </w:tc>
        <w:tc>
          <w:tcPr>
            <w:tcW w:w="3544" w:type="dxa"/>
          </w:tcPr>
          <w:p w14:paraId="20EAF7DD" w14:textId="1A72101F" w:rsidR="00CC6198" w:rsidRDefault="00CC6198" w:rsidP="00BA5150">
            <w:pPr>
              <w:spacing w:after="0" w:line="240" w:lineRule="auto"/>
              <w:jc w:val="both"/>
            </w:pPr>
            <w:r>
              <w:t>Sezoninė gripo vakcina</w:t>
            </w:r>
          </w:p>
        </w:tc>
        <w:tc>
          <w:tcPr>
            <w:tcW w:w="4111" w:type="dxa"/>
          </w:tcPr>
          <w:p w14:paraId="7133A64F" w14:textId="53EFDEB3" w:rsidR="00CC6198" w:rsidRDefault="00CC6198" w:rsidP="00BA5150">
            <w:pPr>
              <w:spacing w:after="0" w:line="240" w:lineRule="auto"/>
              <w:jc w:val="both"/>
            </w:pPr>
            <w:r>
              <w:t>1 dozė kasmet prieš gripo sezoną.</w:t>
            </w:r>
          </w:p>
        </w:tc>
      </w:tr>
      <w:tr w:rsidR="00CC6198" w14:paraId="2887A893" w14:textId="77777777" w:rsidTr="00CC6198">
        <w:trPr>
          <w:trHeight w:val="1102"/>
        </w:trPr>
        <w:tc>
          <w:tcPr>
            <w:tcW w:w="3544" w:type="dxa"/>
            <w:vMerge/>
          </w:tcPr>
          <w:p w14:paraId="7E8215C4" w14:textId="77777777" w:rsidR="00CC6198" w:rsidRDefault="00CC6198" w:rsidP="00BA5150">
            <w:pPr>
              <w:spacing w:after="0" w:line="240" w:lineRule="auto"/>
              <w:jc w:val="both"/>
            </w:pPr>
          </w:p>
        </w:tc>
        <w:tc>
          <w:tcPr>
            <w:tcW w:w="3544" w:type="dxa"/>
          </w:tcPr>
          <w:p w14:paraId="5F8A086C" w14:textId="633576B8" w:rsidR="00CC6198" w:rsidRDefault="00CC6198" w:rsidP="00BA5150">
            <w:pPr>
              <w:spacing w:after="0" w:line="240" w:lineRule="auto"/>
              <w:jc w:val="both"/>
            </w:pPr>
            <w:r>
              <w:t>Td arba Tdap vakcina</w:t>
            </w:r>
          </w:p>
        </w:tc>
        <w:tc>
          <w:tcPr>
            <w:tcW w:w="4111" w:type="dxa"/>
          </w:tcPr>
          <w:p w14:paraId="4D71F9C4" w14:textId="117D9650" w:rsidR="00CC6198" w:rsidRDefault="00CC6198" w:rsidP="00FC53AB">
            <w:r>
              <w:t xml:space="preserve">1 dozė kas 10 metų </w:t>
            </w:r>
            <w:r w:rsidRPr="00FC53AB">
              <w:t xml:space="preserve">(Td vakcina), </w:t>
            </w:r>
            <w:r w:rsidRPr="00FC53AB">
              <w:rPr>
                <w:lang w:val="lt-LT"/>
              </w:rPr>
              <w:t>vieną revakcinaciją Td vakcina pakeisti revakcinacija nuo kokliušo, difterijos ir stabligės (Tdap vakcina), esant galimybei.</w:t>
            </w:r>
          </w:p>
        </w:tc>
      </w:tr>
      <w:tr w:rsidR="00CC6198" w14:paraId="71420937" w14:textId="77777777">
        <w:trPr>
          <w:trHeight w:val="1847"/>
        </w:trPr>
        <w:tc>
          <w:tcPr>
            <w:tcW w:w="3544" w:type="dxa"/>
            <w:vMerge/>
          </w:tcPr>
          <w:p w14:paraId="45FEF61F" w14:textId="77777777" w:rsidR="00CC6198" w:rsidRDefault="00CC6198" w:rsidP="00BA5150">
            <w:pPr>
              <w:spacing w:after="0" w:line="240" w:lineRule="auto"/>
              <w:jc w:val="both"/>
            </w:pPr>
          </w:p>
        </w:tc>
        <w:tc>
          <w:tcPr>
            <w:tcW w:w="3544" w:type="dxa"/>
          </w:tcPr>
          <w:p w14:paraId="6134CC04" w14:textId="64D0122C" w:rsidR="00CC6198" w:rsidRDefault="00963A90" w:rsidP="00BA5150">
            <w:pPr>
              <w:jc w:val="both"/>
            </w:pPr>
            <w:r>
              <w:t>Erkinio encefalito vakcina</w:t>
            </w:r>
          </w:p>
        </w:tc>
        <w:tc>
          <w:tcPr>
            <w:tcW w:w="4111" w:type="dxa"/>
          </w:tcPr>
          <w:p w14:paraId="41839D9B" w14:textId="71E6CD0F" w:rsidR="00CC6198" w:rsidRDefault="00CC6198" w:rsidP="00FC53AB">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9B1DAC">
              <w:rPr>
                <w:color w:val="000000"/>
              </w:rPr>
              <w:t xml:space="preserve"> </w:t>
            </w:r>
            <w:r w:rsidR="009B1DAC" w:rsidRPr="007A76BB">
              <w:rPr>
                <w:color w:val="000000"/>
              </w:rPr>
              <w:t xml:space="preserve">Revakcinacija kas </w:t>
            </w:r>
            <w:r w:rsidR="009B1DAC" w:rsidRPr="0004367C">
              <w:rPr>
                <w:color w:val="000000" w:themeColor="text1"/>
              </w:rPr>
              <w:t>3 -5 metai (priklausomai nuo vakcinos gamintojo).</w:t>
            </w:r>
          </w:p>
        </w:tc>
      </w:tr>
    </w:tbl>
    <w:p w14:paraId="18BF5754" w14:textId="77777777" w:rsidR="008C3617" w:rsidRDefault="008C3617">
      <w:pPr>
        <w:jc w:val="both"/>
      </w:pPr>
    </w:p>
    <w:p w14:paraId="7F85FED7" w14:textId="77777777" w:rsidR="008C3617" w:rsidRPr="00A52D8F" w:rsidRDefault="00D02CE4">
      <w:pPr>
        <w:spacing w:after="120"/>
        <w:rPr>
          <w:b/>
        </w:rPr>
      </w:pPr>
      <w:r w:rsidRPr="00A52D8F">
        <w:rPr>
          <w:b/>
        </w:rPr>
        <w:t>Paaiškinimai:</w:t>
      </w:r>
    </w:p>
    <w:p w14:paraId="528E6954" w14:textId="43F14C5F" w:rsidR="008C3617" w:rsidRDefault="00D02CE4">
      <w:pPr>
        <w:spacing w:after="120"/>
      </w:pPr>
      <w:r>
        <w:t>PCV13 – pneumokokinė polisacharidinė konjuguota 13-valentė vakcina</w:t>
      </w:r>
    </w:p>
    <w:p w14:paraId="3C6B92A8" w14:textId="1B0BB7AC" w:rsidR="008C3617" w:rsidRDefault="00D02CE4">
      <w:pPr>
        <w:spacing w:after="120"/>
      </w:pPr>
      <w:r>
        <w:t>PPSV23 – pneumokokinė polisacharidinė 23-valentė vakcina</w:t>
      </w:r>
    </w:p>
    <w:p w14:paraId="05E61A64" w14:textId="32492EF1" w:rsidR="008C3617" w:rsidRDefault="00D02CE4">
      <w:pPr>
        <w:spacing w:after="120"/>
      </w:pPr>
      <w:r>
        <w:t xml:space="preserve">Td – </w:t>
      </w:r>
      <w:r w:rsidR="006F6201">
        <w:t xml:space="preserve">difterijos, stabligės toksoidų </w:t>
      </w:r>
      <w:r>
        <w:t>vakcina</w:t>
      </w:r>
    </w:p>
    <w:p w14:paraId="783BF713" w14:textId="1D5D65C7" w:rsidR="008C3617" w:rsidRDefault="00D02CE4">
      <w:pPr>
        <w:spacing w:after="120"/>
      </w:pPr>
      <w:r>
        <w:t xml:space="preserve">Tdap - difterijos, stabligės toksoidų ir </w:t>
      </w:r>
      <w:r w:rsidR="00126828">
        <w:t xml:space="preserve">neląstelinio </w:t>
      </w:r>
      <w:r>
        <w:t>kokliušo vakcina</w:t>
      </w:r>
    </w:p>
    <w:p w14:paraId="2F8291B5" w14:textId="77777777" w:rsidR="008C3617" w:rsidRDefault="008C3617">
      <w:pPr>
        <w:jc w:val="both"/>
      </w:pPr>
    </w:p>
    <w:p w14:paraId="3F1CA5B2" w14:textId="77777777" w:rsidR="008C3617" w:rsidRPr="00A52D8F" w:rsidRDefault="00D02CE4">
      <w:pPr>
        <w:jc w:val="both"/>
        <w:rPr>
          <w:b/>
        </w:rPr>
      </w:pPr>
      <w:r w:rsidRPr="00A52D8F">
        <w:rPr>
          <w:b/>
        </w:rPr>
        <w:t>Literatūros šaltiniai:</w:t>
      </w:r>
    </w:p>
    <w:p w14:paraId="490D6871" w14:textId="25B2B8AF" w:rsidR="008C3617" w:rsidRDefault="00D02CE4">
      <w:pPr>
        <w:pStyle w:val="ListParagraph1"/>
        <w:numPr>
          <w:ilvl w:val="0"/>
          <w:numId w:val="9"/>
        </w:numPr>
        <w:jc w:val="both"/>
      </w:pPr>
      <w:r>
        <w:t>ESC Guidelines for the diagnosis and treatment of acute and chronic heart failure 2012. European Heart Journal</w:t>
      </w:r>
      <w:r w:rsidR="00E26C03">
        <w:t xml:space="preserve">. </w:t>
      </w:r>
      <w:r>
        <w:t>2012</w:t>
      </w:r>
      <w:r w:rsidR="00E26C03">
        <w:t>;</w:t>
      </w:r>
      <w:r>
        <w:t xml:space="preserve"> 33</w:t>
      </w:r>
      <w:r w:rsidR="00E26C03">
        <w:t>:</w:t>
      </w:r>
      <w:r>
        <w:t xml:space="preserve"> 1387.</w:t>
      </w:r>
    </w:p>
    <w:p w14:paraId="226C9B88" w14:textId="77EF9AAB" w:rsidR="008C3617" w:rsidRDefault="00D02CE4">
      <w:pPr>
        <w:pStyle w:val="ListParagraph1"/>
        <w:numPr>
          <w:ilvl w:val="0"/>
          <w:numId w:val="9"/>
        </w:numPr>
        <w:jc w:val="both"/>
      </w:pPr>
      <w:r>
        <w:t>2013 ESC guidelines on the management of stable coronary artery disease. European Heart Journal</w:t>
      </w:r>
      <w:r w:rsidR="00E26C03">
        <w:t xml:space="preserve">. </w:t>
      </w:r>
      <w:r>
        <w:t>2013</w:t>
      </w:r>
      <w:r w:rsidR="00E26C03">
        <w:t xml:space="preserve">; </w:t>
      </w:r>
      <w:r>
        <w:t>34</w:t>
      </w:r>
      <w:r w:rsidR="00E26C03">
        <w:t>:</w:t>
      </w:r>
      <w:r>
        <w:t xml:space="preserve"> 2977.</w:t>
      </w:r>
    </w:p>
    <w:p w14:paraId="3B977A23" w14:textId="0B8EF779" w:rsidR="008C3617" w:rsidRDefault="00D02CE4">
      <w:pPr>
        <w:pStyle w:val="ListParagraph1"/>
        <w:numPr>
          <w:ilvl w:val="0"/>
          <w:numId w:val="9"/>
        </w:numPr>
        <w:jc w:val="both"/>
      </w:pPr>
      <w:r>
        <w:t>ESC Guidelines for the management of grown-up congenital heart disease (2010</w:t>
      </w:r>
      <w:proofErr w:type="gramStart"/>
      <w:r>
        <w:t>) .</w:t>
      </w:r>
      <w:proofErr w:type="gramEnd"/>
      <w:r>
        <w:t xml:space="preserve"> European Heart Journal</w:t>
      </w:r>
      <w:r w:rsidR="00E26C03">
        <w:t xml:space="preserve">. </w:t>
      </w:r>
      <w:r>
        <w:t>2010</w:t>
      </w:r>
      <w:r w:rsidR="00E26C03">
        <w:t>;</w:t>
      </w:r>
      <w:r w:rsidR="004D4765">
        <w:t xml:space="preserve"> 31</w:t>
      </w:r>
      <w:r w:rsidR="00E26C03">
        <w:t>:</w:t>
      </w:r>
      <w:r w:rsidR="004D4765">
        <w:t xml:space="preserve"> </w:t>
      </w:r>
      <w:r>
        <w:t>2915-57; table 22.</w:t>
      </w:r>
    </w:p>
    <w:p w14:paraId="3D35605D" w14:textId="677F4065" w:rsidR="008C3617" w:rsidRDefault="00D02CE4">
      <w:pPr>
        <w:pStyle w:val="ListParagraph1"/>
        <w:numPr>
          <w:ilvl w:val="0"/>
          <w:numId w:val="9"/>
        </w:numPr>
        <w:jc w:val="both"/>
      </w:pPr>
      <w:r>
        <w:t>ESC/ERS Guidelines for the diagnosis and treatment of pulmonary hypertension. European Heart Journal</w:t>
      </w:r>
      <w:r w:rsidR="00E26C03">
        <w:t xml:space="preserve">. </w:t>
      </w:r>
      <w:r w:rsidR="004D4765">
        <w:t>2009</w:t>
      </w:r>
      <w:r w:rsidR="00E26C03">
        <w:t>;</w:t>
      </w:r>
      <w:r w:rsidR="004D4765">
        <w:t xml:space="preserve"> </w:t>
      </w:r>
      <w:r>
        <w:t>30</w:t>
      </w:r>
      <w:r w:rsidR="00E26C03">
        <w:t>:</w:t>
      </w:r>
      <w:r w:rsidR="004D4765">
        <w:t xml:space="preserve"> 2493-2537, 2511, 2514; figure 2</w:t>
      </w:r>
      <w:r w:rsidR="00E26C03">
        <w:t>.</w:t>
      </w:r>
    </w:p>
    <w:p w14:paraId="46B9A4A1" w14:textId="3E18B56F" w:rsidR="00EC668E" w:rsidRDefault="00EC668E">
      <w:pPr>
        <w:pStyle w:val="ListParagraph1"/>
        <w:numPr>
          <w:ilvl w:val="0"/>
          <w:numId w:val="9"/>
        </w:numPr>
        <w:jc w:val="both"/>
      </w:pPr>
      <w:r>
        <w:t>Galie N,</w:t>
      </w:r>
      <w:r w:rsidRPr="00EC668E">
        <w:t xml:space="preserve"> </w:t>
      </w:r>
      <w:r>
        <w:t xml:space="preserve">Corris PA, Frost A et al. Updated treatment algoritm of pulmonary arterial hypertension. </w:t>
      </w:r>
    </w:p>
    <w:p w14:paraId="2DBE3F48" w14:textId="5BEE0BD2" w:rsidR="00782354" w:rsidRDefault="00EC668E" w:rsidP="002831DA">
      <w:pPr>
        <w:pStyle w:val="ListParagraph1"/>
        <w:jc w:val="both"/>
      </w:pPr>
      <w:r>
        <w:t xml:space="preserve">J </w:t>
      </w:r>
      <w:r w:rsidR="00D02CE4">
        <w:t>Am Coll Cardiol</w:t>
      </w:r>
      <w:r w:rsidR="00E26C03">
        <w:t>.</w:t>
      </w:r>
      <w:r w:rsidR="00D02CE4">
        <w:t xml:space="preserve"> 2013; 62: D60-70</w:t>
      </w:r>
      <w:r w:rsidR="00782354">
        <w:t>.</w:t>
      </w:r>
    </w:p>
    <w:p w14:paraId="6E292945" w14:textId="7F4C9F0D" w:rsidR="008C3617" w:rsidRPr="00752466" w:rsidRDefault="00D5320C" w:rsidP="00C84CC9">
      <w:pPr>
        <w:pStyle w:val="ListParagraph"/>
        <w:numPr>
          <w:ilvl w:val="0"/>
          <w:numId w:val="2"/>
        </w:numPr>
        <w:jc w:val="both"/>
        <w:rPr>
          <w:b/>
          <w:sz w:val="24"/>
          <w:szCs w:val="24"/>
        </w:rPr>
      </w:pPr>
      <w:r w:rsidRPr="00752466">
        <w:rPr>
          <w:b/>
          <w:sz w:val="24"/>
          <w:szCs w:val="24"/>
        </w:rPr>
        <w:lastRenderedPageBreak/>
        <w:t>Kepenų ligomis sergančių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7F3B1DAC" w14:textId="77777777">
        <w:tc>
          <w:tcPr>
            <w:tcW w:w="3544" w:type="dxa"/>
          </w:tcPr>
          <w:p w14:paraId="3C213D51" w14:textId="77777777" w:rsidR="008C3617" w:rsidRDefault="00D02CE4">
            <w:pPr>
              <w:spacing w:after="0" w:line="240" w:lineRule="auto"/>
              <w:rPr>
                <w:b/>
              </w:rPr>
            </w:pPr>
            <w:r>
              <w:rPr>
                <w:b/>
              </w:rPr>
              <w:t>Rizikos ligos/būklės</w:t>
            </w:r>
          </w:p>
        </w:tc>
        <w:tc>
          <w:tcPr>
            <w:tcW w:w="3544" w:type="dxa"/>
          </w:tcPr>
          <w:p w14:paraId="623A3300" w14:textId="77777777" w:rsidR="008C3617" w:rsidRDefault="00D02CE4">
            <w:pPr>
              <w:spacing w:after="0" w:line="240" w:lineRule="auto"/>
              <w:rPr>
                <w:b/>
              </w:rPr>
            </w:pPr>
            <w:r>
              <w:rPr>
                <w:b/>
              </w:rPr>
              <w:t>Rekomenduojamos vakcinos</w:t>
            </w:r>
          </w:p>
        </w:tc>
        <w:tc>
          <w:tcPr>
            <w:tcW w:w="4111" w:type="dxa"/>
          </w:tcPr>
          <w:p w14:paraId="6DC37A63" w14:textId="77777777" w:rsidR="008C3617" w:rsidRDefault="00D02CE4">
            <w:pPr>
              <w:spacing w:after="0" w:line="240" w:lineRule="auto"/>
              <w:rPr>
                <w:b/>
              </w:rPr>
            </w:pPr>
            <w:r>
              <w:rPr>
                <w:b/>
              </w:rPr>
              <w:t>Pastabos dėl vakcinų vartojimo</w:t>
            </w:r>
          </w:p>
        </w:tc>
      </w:tr>
      <w:tr w:rsidR="00507CD0" w14:paraId="4B41E919" w14:textId="77777777" w:rsidTr="00271A9C">
        <w:trPr>
          <w:trHeight w:val="368"/>
        </w:trPr>
        <w:tc>
          <w:tcPr>
            <w:tcW w:w="3544" w:type="dxa"/>
            <w:vMerge w:val="restart"/>
          </w:tcPr>
          <w:p w14:paraId="19EE5D7A" w14:textId="77777777" w:rsidR="00507CD0" w:rsidRPr="00591BEC" w:rsidRDefault="00507CD0" w:rsidP="00456180">
            <w:pPr>
              <w:spacing w:after="0" w:line="240" w:lineRule="auto"/>
              <w:jc w:val="both"/>
              <w:rPr>
                <w:b/>
              </w:rPr>
            </w:pPr>
            <w:r w:rsidRPr="00591BEC">
              <w:rPr>
                <w:b/>
              </w:rPr>
              <w:t>Lėtinis hepatitas</w:t>
            </w:r>
          </w:p>
          <w:p w14:paraId="49B509D0" w14:textId="0AF4567B" w:rsidR="00507CD0" w:rsidRDefault="00507CD0" w:rsidP="00456180">
            <w:pPr>
              <w:spacing w:after="0" w:line="240" w:lineRule="auto"/>
              <w:jc w:val="both"/>
            </w:pPr>
            <w:r w:rsidRPr="00591BEC">
              <w:rPr>
                <w:b/>
              </w:rPr>
              <w:t>Kepenų cirozė</w:t>
            </w:r>
          </w:p>
        </w:tc>
        <w:tc>
          <w:tcPr>
            <w:tcW w:w="3544" w:type="dxa"/>
          </w:tcPr>
          <w:p w14:paraId="198A3418" w14:textId="77777777" w:rsidR="00507CD0" w:rsidRDefault="00507CD0" w:rsidP="00456180">
            <w:pPr>
              <w:spacing w:after="0" w:line="240" w:lineRule="auto"/>
              <w:jc w:val="both"/>
            </w:pPr>
            <w:r>
              <w:t xml:space="preserve">Sezoninė gripo </w:t>
            </w:r>
          </w:p>
          <w:p w14:paraId="4146593D" w14:textId="65FD3D61" w:rsidR="00507CD0" w:rsidRDefault="00507CD0" w:rsidP="00456180">
            <w:pPr>
              <w:spacing w:after="0" w:line="240" w:lineRule="auto"/>
              <w:jc w:val="both"/>
            </w:pPr>
            <w:r>
              <w:t>vakcina</w:t>
            </w:r>
          </w:p>
        </w:tc>
        <w:tc>
          <w:tcPr>
            <w:tcW w:w="4111" w:type="dxa"/>
          </w:tcPr>
          <w:p w14:paraId="42DA497C" w14:textId="63F9B636" w:rsidR="00507CD0" w:rsidRDefault="00507CD0" w:rsidP="00456180">
            <w:pPr>
              <w:spacing w:after="0" w:line="240" w:lineRule="auto"/>
              <w:jc w:val="both"/>
            </w:pPr>
            <w:r>
              <w:t xml:space="preserve">1 dozė </w:t>
            </w:r>
            <w:r w:rsidRPr="006A2DE6">
              <w:t>kasmet</w:t>
            </w:r>
            <w:r>
              <w:t xml:space="preserve"> prieš gripo sezoną.</w:t>
            </w:r>
          </w:p>
        </w:tc>
      </w:tr>
      <w:tr w:rsidR="00507CD0" w14:paraId="2649CFA2" w14:textId="77777777">
        <w:trPr>
          <w:trHeight w:val="1277"/>
        </w:trPr>
        <w:tc>
          <w:tcPr>
            <w:tcW w:w="3544" w:type="dxa"/>
            <w:vMerge/>
          </w:tcPr>
          <w:p w14:paraId="3A982FC3" w14:textId="77777777" w:rsidR="00507CD0" w:rsidRDefault="00507CD0" w:rsidP="00456180">
            <w:pPr>
              <w:spacing w:after="0" w:line="240" w:lineRule="auto"/>
              <w:jc w:val="both"/>
            </w:pPr>
          </w:p>
        </w:tc>
        <w:tc>
          <w:tcPr>
            <w:tcW w:w="3544" w:type="dxa"/>
          </w:tcPr>
          <w:p w14:paraId="3F28A913" w14:textId="77777777" w:rsidR="00507CD0" w:rsidRDefault="00507CD0" w:rsidP="00456180">
            <w:pPr>
              <w:spacing w:after="0" w:line="240" w:lineRule="auto"/>
              <w:jc w:val="both"/>
            </w:pPr>
            <w:r>
              <w:t>Pneumokokinė</w:t>
            </w:r>
          </w:p>
          <w:p w14:paraId="7B6D10D8" w14:textId="15EB1AE4" w:rsidR="00507CD0" w:rsidRDefault="00507CD0" w:rsidP="00456180">
            <w:pPr>
              <w:spacing w:after="0" w:line="240" w:lineRule="auto"/>
              <w:jc w:val="both"/>
            </w:pPr>
            <w:r>
              <w:t xml:space="preserve"> vakcina </w:t>
            </w:r>
          </w:p>
        </w:tc>
        <w:tc>
          <w:tcPr>
            <w:tcW w:w="4111" w:type="dxa"/>
          </w:tcPr>
          <w:p w14:paraId="693B190F" w14:textId="77777777" w:rsidR="00507CD0" w:rsidRPr="007B6AC2" w:rsidRDefault="00507CD0" w:rsidP="003613FA">
            <w:pPr>
              <w:spacing w:after="0" w:line="240" w:lineRule="auto"/>
              <w:rPr>
                <w:lang w:val="lt-LT"/>
              </w:rPr>
            </w:pPr>
            <w:r w:rsidRPr="007B6AC2">
              <w:rPr>
                <w:lang w:val="lt-LT"/>
              </w:rPr>
              <w:t>Asmenys, kurie anksčiau nebuvo skiepyti pneumokokine vakcina (PKV13 ar PPSV23): 1 dozė PKV13.</w:t>
            </w:r>
          </w:p>
          <w:p w14:paraId="15B39AE4" w14:textId="1B3D47C4" w:rsidR="00507CD0" w:rsidRDefault="00507CD0" w:rsidP="003613FA">
            <w:pPr>
              <w:spacing w:after="0" w:line="240" w:lineRule="auto"/>
            </w:pPr>
            <w:r w:rsidRPr="007B6AC2">
              <w:rPr>
                <w:lang w:val="lt-LT"/>
              </w:rPr>
              <w:t>Asmenys, kurie anksčiau buvo skiepyti PPSV23, bet nebuvo skiepyti PKV13: papildomai turėtų būti paskiepyti PKV13 praėjus mažiausiai 1 metams po PPSV23.</w:t>
            </w:r>
          </w:p>
        </w:tc>
      </w:tr>
      <w:tr w:rsidR="00507CD0" w14:paraId="5C199B00" w14:textId="77777777">
        <w:trPr>
          <w:trHeight w:val="520"/>
        </w:trPr>
        <w:tc>
          <w:tcPr>
            <w:tcW w:w="3544" w:type="dxa"/>
            <w:vMerge/>
          </w:tcPr>
          <w:p w14:paraId="78AF332B" w14:textId="77777777" w:rsidR="00507CD0" w:rsidRDefault="00507CD0" w:rsidP="00456180">
            <w:pPr>
              <w:spacing w:after="0" w:line="240" w:lineRule="auto"/>
              <w:jc w:val="both"/>
            </w:pPr>
          </w:p>
        </w:tc>
        <w:tc>
          <w:tcPr>
            <w:tcW w:w="3544" w:type="dxa"/>
          </w:tcPr>
          <w:p w14:paraId="7AF66B4C" w14:textId="4E9631FD" w:rsidR="00507CD0" w:rsidRDefault="00507CD0" w:rsidP="00456180">
            <w:pPr>
              <w:spacing w:after="0" w:line="240" w:lineRule="auto"/>
              <w:jc w:val="both"/>
            </w:pPr>
            <w:r>
              <w:t>VHA vakcina</w:t>
            </w:r>
          </w:p>
        </w:tc>
        <w:tc>
          <w:tcPr>
            <w:tcW w:w="4111" w:type="dxa"/>
          </w:tcPr>
          <w:p w14:paraId="76F3D2B9" w14:textId="464834A8" w:rsidR="00507CD0" w:rsidRDefault="00507CD0" w:rsidP="003613FA">
            <w:pPr>
              <w:spacing w:after="0" w:line="240" w:lineRule="auto"/>
            </w:pPr>
            <w:r>
              <w:t>Rekomenduojama skiepyti 2 vakcinos dozes, antroji dozė turi būti skiepijama praėjus 6-36 mėnesių po pirmosios.</w:t>
            </w:r>
          </w:p>
          <w:p w14:paraId="5A7F2E21" w14:textId="42E150A9" w:rsidR="00507CD0" w:rsidRDefault="00507CD0" w:rsidP="003613FA">
            <w:pPr>
              <w:spacing w:after="0" w:line="240" w:lineRule="auto"/>
            </w:pPr>
            <w:r>
              <w:t xml:space="preserve">Gali būti vartojama kombinuota vakcina nuo hepatito </w:t>
            </w:r>
            <w:proofErr w:type="gramStart"/>
            <w:r>
              <w:t>A</w:t>
            </w:r>
            <w:proofErr w:type="gramEnd"/>
            <w:r>
              <w:t xml:space="preserve"> ir hepatito B virusų infekcijų. Skiepijimo schema: 0, 1 ir 6 mėnesiai.</w:t>
            </w:r>
          </w:p>
        </w:tc>
      </w:tr>
      <w:tr w:rsidR="00507CD0" w14:paraId="74A0A6D5" w14:textId="77777777">
        <w:trPr>
          <w:trHeight w:val="552"/>
        </w:trPr>
        <w:tc>
          <w:tcPr>
            <w:tcW w:w="3544" w:type="dxa"/>
            <w:vMerge/>
          </w:tcPr>
          <w:p w14:paraId="5D5C483C" w14:textId="77777777" w:rsidR="00507CD0" w:rsidRDefault="00507CD0" w:rsidP="00456180">
            <w:pPr>
              <w:spacing w:after="0" w:line="240" w:lineRule="auto"/>
              <w:jc w:val="both"/>
            </w:pPr>
          </w:p>
        </w:tc>
        <w:tc>
          <w:tcPr>
            <w:tcW w:w="3544" w:type="dxa"/>
          </w:tcPr>
          <w:p w14:paraId="55FFA8DF" w14:textId="1712FD90" w:rsidR="00507CD0" w:rsidRDefault="00507CD0" w:rsidP="00456180">
            <w:pPr>
              <w:spacing w:after="0" w:line="240" w:lineRule="auto"/>
              <w:jc w:val="both"/>
            </w:pPr>
            <w:r>
              <w:t>VHB vakcina</w:t>
            </w:r>
          </w:p>
        </w:tc>
        <w:tc>
          <w:tcPr>
            <w:tcW w:w="4111" w:type="dxa"/>
          </w:tcPr>
          <w:p w14:paraId="1D9B931A" w14:textId="3576F718" w:rsidR="00507CD0" w:rsidRDefault="00507CD0" w:rsidP="008264CA">
            <w:pPr>
              <w:spacing w:after="0" w:line="240" w:lineRule="auto"/>
            </w:pPr>
            <w:r>
              <w:t>HBsAg, anti-HBc ir anti-HBs neigiamiems asmenims 3 dozių po 20 µg kursas pagal schemą: 0, 1 ir 6 mėnesiai.</w:t>
            </w:r>
          </w:p>
          <w:p w14:paraId="14C1D2F4" w14:textId="0950B339" w:rsidR="00507CD0" w:rsidRDefault="00507CD0" w:rsidP="008264CA">
            <w:pPr>
              <w:spacing w:after="0" w:line="240" w:lineRule="auto"/>
            </w:pPr>
            <w:r>
              <w:t xml:space="preserve">Jei aptinkama anti-HBc (+), bet neaptinkama HBsAg (-), anti-HBs (-), rekomenduojama skiepyti 1 VHB vakcinos dozę ir po 4 – 6 savaičių įvertinti apsauginių antikūnų (anti-HBs) titrą. Jei aptinkamas protekcinis antikūnų titras (anti-HBs </w:t>
            </w:r>
            <w:r w:rsidRPr="00456180">
              <w:rPr>
                <w:color w:val="000000"/>
              </w:rPr>
              <w:t>&gt; 10 mTV/ml</w:t>
            </w:r>
            <w:r>
              <w:rPr>
                <w:color w:val="000000"/>
              </w:rPr>
              <w:t>)</w:t>
            </w:r>
            <w:r w:rsidRPr="00456180">
              <w:rPr>
                <w:color w:val="000000"/>
              </w:rPr>
              <w:t>, skiepijimo nebetęsti.</w:t>
            </w:r>
            <w:r>
              <w:rPr>
                <w:color w:val="000000"/>
              </w:rPr>
              <w:t xml:space="preserve"> Jeigu </w:t>
            </w:r>
            <w:r>
              <w:t xml:space="preserve">protekcinio antikūnų titro neaptinkama (anti-HBs </w:t>
            </w:r>
            <w:r>
              <w:rPr>
                <w:color w:val="000000"/>
              </w:rPr>
              <w:t>&lt;</w:t>
            </w:r>
            <w:r w:rsidRPr="00456180">
              <w:rPr>
                <w:color w:val="000000"/>
              </w:rPr>
              <w:t xml:space="preserve"> 10</w:t>
            </w:r>
            <w:r>
              <w:rPr>
                <w:color w:val="000000"/>
              </w:rPr>
              <w:t xml:space="preserve"> </w:t>
            </w:r>
            <w:r w:rsidRPr="00456180">
              <w:rPr>
                <w:color w:val="000000"/>
              </w:rPr>
              <w:t>mTV/ml</w:t>
            </w:r>
            <w:r>
              <w:rPr>
                <w:color w:val="000000"/>
              </w:rPr>
              <w:t xml:space="preserve">), ištirti dėl </w:t>
            </w:r>
            <w:r>
              <w:t>HBsAg dar kartą.</w:t>
            </w:r>
          </w:p>
          <w:p w14:paraId="349ED766" w14:textId="388C4559" w:rsidR="00507CD0" w:rsidRDefault="00507CD0" w:rsidP="008264CA">
            <w:pPr>
              <w:spacing w:after="0" w:line="240" w:lineRule="auto"/>
            </w:pPr>
            <w:r>
              <w:t>Galimos kitos skiepijimo schemos pagal vakcinų aprašus.</w:t>
            </w:r>
          </w:p>
          <w:p w14:paraId="4BFE44C2" w14:textId="7F4B009A" w:rsidR="00507CD0" w:rsidRDefault="00507CD0" w:rsidP="008264CA">
            <w:pPr>
              <w:spacing w:after="0" w:line="240" w:lineRule="auto"/>
            </w:pPr>
            <w:r>
              <w:t xml:space="preserve">Gali būti naudojama kombinuota vakcina nuo hepatito A ir hepatito B virusų infekcijų. Skiepjimo schema: 0, 1 ir 6 mėnesiai. </w:t>
            </w:r>
          </w:p>
        </w:tc>
      </w:tr>
      <w:tr w:rsidR="00507CD0" w14:paraId="718762D1" w14:textId="77777777" w:rsidTr="00507CD0">
        <w:trPr>
          <w:trHeight w:val="1093"/>
        </w:trPr>
        <w:tc>
          <w:tcPr>
            <w:tcW w:w="3544" w:type="dxa"/>
            <w:vMerge/>
          </w:tcPr>
          <w:p w14:paraId="522D29D8" w14:textId="6AC6A6B1" w:rsidR="00507CD0" w:rsidRDefault="00507CD0" w:rsidP="00456180">
            <w:pPr>
              <w:spacing w:after="0" w:line="240" w:lineRule="auto"/>
              <w:jc w:val="both"/>
            </w:pPr>
          </w:p>
        </w:tc>
        <w:tc>
          <w:tcPr>
            <w:tcW w:w="3544" w:type="dxa"/>
          </w:tcPr>
          <w:p w14:paraId="29AB3609" w14:textId="6014F741" w:rsidR="00507CD0" w:rsidRDefault="00507CD0" w:rsidP="00456180">
            <w:pPr>
              <w:spacing w:after="0" w:line="240" w:lineRule="auto"/>
              <w:jc w:val="both"/>
            </w:pPr>
            <w:r>
              <w:t>Td arba Tdap vakcina</w:t>
            </w:r>
          </w:p>
        </w:tc>
        <w:tc>
          <w:tcPr>
            <w:tcW w:w="4111" w:type="dxa"/>
          </w:tcPr>
          <w:p w14:paraId="2844C6B2" w14:textId="0C125BF8" w:rsidR="00507CD0" w:rsidRDefault="00507CD0" w:rsidP="00A0002B">
            <w:r>
              <w:t xml:space="preserve">1 dozė kas 10 metų </w:t>
            </w:r>
            <w:r w:rsidRPr="00A0002B">
              <w:t xml:space="preserve">(Td vakcina), </w:t>
            </w:r>
            <w:r w:rsidRPr="00A0002B">
              <w:rPr>
                <w:lang w:val="lt-LT"/>
              </w:rPr>
              <w:t>vieną revakcinaciją Td vakcina pakeisti revakcinacija nuo kokliušo, difterijos ir stabligės (Tdap vakcina), esant galimybei.</w:t>
            </w:r>
          </w:p>
        </w:tc>
      </w:tr>
      <w:tr w:rsidR="00507CD0" w14:paraId="581DA876" w14:textId="77777777">
        <w:trPr>
          <w:trHeight w:val="1864"/>
        </w:trPr>
        <w:tc>
          <w:tcPr>
            <w:tcW w:w="3544" w:type="dxa"/>
            <w:vMerge/>
          </w:tcPr>
          <w:p w14:paraId="7864DE78" w14:textId="77777777" w:rsidR="00507CD0" w:rsidRDefault="00507CD0" w:rsidP="00456180">
            <w:pPr>
              <w:spacing w:after="0" w:line="240" w:lineRule="auto"/>
              <w:jc w:val="both"/>
            </w:pPr>
          </w:p>
        </w:tc>
        <w:tc>
          <w:tcPr>
            <w:tcW w:w="3544" w:type="dxa"/>
          </w:tcPr>
          <w:p w14:paraId="50B7A6D1" w14:textId="4E789C4A" w:rsidR="00507CD0" w:rsidRDefault="00507CD0" w:rsidP="00456180">
            <w:pPr>
              <w:jc w:val="both"/>
            </w:pPr>
            <w:r>
              <w:t>Erknio encefalito vakcina</w:t>
            </w:r>
          </w:p>
        </w:tc>
        <w:tc>
          <w:tcPr>
            <w:tcW w:w="4111" w:type="dxa"/>
          </w:tcPr>
          <w:p w14:paraId="30877844" w14:textId="56EE3920" w:rsidR="00507CD0" w:rsidRDefault="00507CD0" w:rsidP="00A0002B">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w:t>
            </w:r>
            <w:r w:rsidRPr="007A76BB">
              <w:rPr>
                <w:color w:val="000000"/>
              </w:rPr>
              <w:lastRenderedPageBreak/>
              <w:t>metai.</w:t>
            </w:r>
          </w:p>
        </w:tc>
      </w:tr>
    </w:tbl>
    <w:p w14:paraId="1898E8CF" w14:textId="77777777" w:rsidR="008C3617" w:rsidRDefault="008C3617">
      <w:pPr>
        <w:jc w:val="both"/>
      </w:pPr>
    </w:p>
    <w:p w14:paraId="3D281368" w14:textId="77777777" w:rsidR="008C3617" w:rsidRPr="00A52D8F" w:rsidRDefault="00D02CE4">
      <w:pPr>
        <w:spacing w:after="120"/>
        <w:rPr>
          <w:b/>
        </w:rPr>
      </w:pPr>
      <w:r w:rsidRPr="00A52D8F">
        <w:rPr>
          <w:b/>
        </w:rPr>
        <w:t>Paaiškinimai:</w:t>
      </w:r>
    </w:p>
    <w:p w14:paraId="457D5E30" w14:textId="1F5E4F75" w:rsidR="008C3617" w:rsidRPr="00B937F9" w:rsidRDefault="00D02CE4">
      <w:pPr>
        <w:spacing w:after="120"/>
      </w:pPr>
      <w:r w:rsidRPr="00B937F9">
        <w:t>PCV13 – pneumokokinė polisacharidinė konjuguota 13-valentė vakcina</w:t>
      </w:r>
    </w:p>
    <w:p w14:paraId="7593365E" w14:textId="001B02FD" w:rsidR="008C3617" w:rsidRPr="00B937F9" w:rsidRDefault="00D02CE4">
      <w:pPr>
        <w:spacing w:after="120"/>
      </w:pPr>
      <w:r w:rsidRPr="00B937F9">
        <w:t>PPSV23 – pneumokokinė polisacharidinė 23-valentė vakcina</w:t>
      </w:r>
    </w:p>
    <w:p w14:paraId="2B99B9AC" w14:textId="051EEFC3" w:rsidR="008C3617" w:rsidRPr="00B937F9" w:rsidRDefault="00D02CE4">
      <w:pPr>
        <w:spacing w:after="120"/>
      </w:pPr>
      <w:r w:rsidRPr="00B937F9">
        <w:t>VHA – virusini</w:t>
      </w:r>
      <w:r w:rsidR="00CE5CF0" w:rsidRPr="00B937F9">
        <w:t xml:space="preserve">o </w:t>
      </w:r>
      <w:r w:rsidRPr="00B937F9">
        <w:t>hepatit</w:t>
      </w:r>
      <w:r w:rsidR="00CE5CF0" w:rsidRPr="00B937F9">
        <w:t>o A vakcina</w:t>
      </w:r>
    </w:p>
    <w:p w14:paraId="4374C956" w14:textId="5D40ED4E" w:rsidR="008C3617" w:rsidRPr="00B937F9" w:rsidRDefault="00D02CE4">
      <w:pPr>
        <w:spacing w:after="120"/>
      </w:pPr>
      <w:r w:rsidRPr="00B937F9">
        <w:t>VHB – virusini</w:t>
      </w:r>
      <w:r w:rsidR="00CE5CF0" w:rsidRPr="00B937F9">
        <w:t>o</w:t>
      </w:r>
      <w:r w:rsidRPr="00B937F9">
        <w:t xml:space="preserve"> hepatit</w:t>
      </w:r>
      <w:r w:rsidR="00CE5CF0" w:rsidRPr="00B937F9">
        <w:t>o B vakcina</w:t>
      </w:r>
    </w:p>
    <w:p w14:paraId="39D4949A" w14:textId="77777777" w:rsidR="00563523" w:rsidRPr="00B937F9" w:rsidRDefault="00563523" w:rsidP="00563523">
      <w:pPr>
        <w:spacing w:after="120"/>
      </w:pPr>
      <w:r w:rsidRPr="00B937F9">
        <w:t>HBsAg – hepatito B viruso paviršiaus antigenas</w:t>
      </w:r>
    </w:p>
    <w:p w14:paraId="2B559BFB" w14:textId="77777777" w:rsidR="00563523" w:rsidRPr="00B937F9" w:rsidRDefault="00563523" w:rsidP="00563523">
      <w:pPr>
        <w:spacing w:after="120"/>
      </w:pPr>
      <w:r w:rsidRPr="00B937F9">
        <w:t>Anti-HBc – antikūnai prieš hepatito B viruso šerdinį antigeną</w:t>
      </w:r>
    </w:p>
    <w:p w14:paraId="3FF1C9B9" w14:textId="0E4DC354" w:rsidR="00563523" w:rsidRPr="00B937F9" w:rsidRDefault="00563523" w:rsidP="00563523">
      <w:pPr>
        <w:spacing w:after="120"/>
      </w:pPr>
      <w:r w:rsidRPr="00B937F9">
        <w:t>Anti-HBs – antikūnai prieš hepatito B viruso paviršiaus antigeną</w:t>
      </w:r>
    </w:p>
    <w:p w14:paraId="725CB783" w14:textId="2926F6AD" w:rsidR="008C3617" w:rsidRDefault="00D02CE4">
      <w:pPr>
        <w:spacing w:after="120"/>
      </w:pPr>
      <w:r w:rsidRPr="00B937F9">
        <w:t xml:space="preserve">Td – </w:t>
      </w:r>
      <w:r w:rsidR="006F6201" w:rsidRPr="00B937F9">
        <w:t xml:space="preserve">difterijos, stabligės toksoidų </w:t>
      </w:r>
      <w:r w:rsidRPr="00B937F9">
        <w:t>vakcina</w:t>
      </w:r>
    </w:p>
    <w:p w14:paraId="15D51DDB" w14:textId="14E7DEEE" w:rsidR="008C3617" w:rsidRDefault="00D02CE4">
      <w:pPr>
        <w:spacing w:after="120"/>
      </w:pPr>
      <w:r>
        <w:t xml:space="preserve">Tdap - difterijos, stabligės toksoidų ir </w:t>
      </w:r>
      <w:r w:rsidR="00CE5CF0">
        <w:t xml:space="preserve">neląstelinio </w:t>
      </w:r>
      <w:r>
        <w:t>kokliušo vakcina</w:t>
      </w:r>
    </w:p>
    <w:p w14:paraId="2BE7214B" w14:textId="77777777" w:rsidR="008C3617" w:rsidRDefault="008C3617">
      <w:pPr>
        <w:jc w:val="both"/>
      </w:pPr>
    </w:p>
    <w:p w14:paraId="5CF4FFB4" w14:textId="77777777" w:rsidR="008C3617" w:rsidRPr="00A52D8F" w:rsidRDefault="00D02CE4">
      <w:pPr>
        <w:jc w:val="both"/>
        <w:rPr>
          <w:b/>
        </w:rPr>
      </w:pPr>
      <w:r w:rsidRPr="00A52D8F">
        <w:rPr>
          <w:b/>
        </w:rPr>
        <w:t>Literatūros šaltiniai:</w:t>
      </w:r>
    </w:p>
    <w:p w14:paraId="14E82CAE" w14:textId="2EA180ED" w:rsidR="008C3617" w:rsidRDefault="00D02CE4" w:rsidP="002831DA">
      <w:pPr>
        <w:pStyle w:val="ListParagraph1"/>
        <w:numPr>
          <w:ilvl w:val="0"/>
          <w:numId w:val="10"/>
        </w:numPr>
        <w:jc w:val="both"/>
      </w:pPr>
      <w:r>
        <w:t xml:space="preserve">M. D. Leise and J. A. Talwalkar. Immunizations in Chronic Liver Disease: What </w:t>
      </w:r>
      <w:proofErr w:type="gramStart"/>
      <w:r>
        <w:t>Should</w:t>
      </w:r>
      <w:proofErr w:type="gramEnd"/>
      <w:r>
        <w:t xml:space="preserve"> be Done and What is the Evidence. Curr Gastroenterol Rep</w:t>
      </w:r>
      <w:r w:rsidR="00C62A75">
        <w:t xml:space="preserve">. </w:t>
      </w:r>
      <w:r>
        <w:t>2013</w:t>
      </w:r>
      <w:r w:rsidR="00C62A75">
        <w:t>;</w:t>
      </w:r>
      <w:r>
        <w:t xml:space="preserve"> 15:</w:t>
      </w:r>
      <w:r w:rsidR="00C62A75">
        <w:t xml:space="preserve"> </w:t>
      </w:r>
      <w:r>
        <w:t>300.</w:t>
      </w:r>
    </w:p>
    <w:p w14:paraId="47C8BDFA" w14:textId="091EE6CD" w:rsidR="00604FCA" w:rsidRPr="0004367C" w:rsidRDefault="00604FCA" w:rsidP="002831DA">
      <w:pPr>
        <w:pStyle w:val="ListParagraph1"/>
        <w:numPr>
          <w:ilvl w:val="0"/>
          <w:numId w:val="10"/>
        </w:numPr>
        <w:jc w:val="both"/>
        <w:rPr>
          <w:color w:val="000000" w:themeColor="text1"/>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p>
    <w:p w14:paraId="2A06DE90" w14:textId="77777777" w:rsidR="008C3617" w:rsidRDefault="008C3617">
      <w:pPr>
        <w:jc w:val="both"/>
      </w:pPr>
    </w:p>
    <w:p w14:paraId="68FBC590" w14:textId="77777777" w:rsidR="007E408D" w:rsidRDefault="007E408D">
      <w:pPr>
        <w:jc w:val="both"/>
      </w:pPr>
    </w:p>
    <w:p w14:paraId="1DD7237F" w14:textId="77777777" w:rsidR="007E408D" w:rsidRDefault="007E408D">
      <w:pPr>
        <w:jc w:val="both"/>
      </w:pPr>
    </w:p>
    <w:p w14:paraId="61796E1D" w14:textId="77777777" w:rsidR="007E408D" w:rsidRDefault="007E408D">
      <w:pPr>
        <w:jc w:val="both"/>
      </w:pPr>
    </w:p>
    <w:p w14:paraId="0A824A78" w14:textId="77777777" w:rsidR="007E408D" w:rsidRDefault="007E408D">
      <w:pPr>
        <w:jc w:val="both"/>
      </w:pPr>
    </w:p>
    <w:p w14:paraId="436FA1B4" w14:textId="77777777" w:rsidR="007E408D" w:rsidRDefault="007E408D">
      <w:pPr>
        <w:jc w:val="both"/>
      </w:pPr>
    </w:p>
    <w:p w14:paraId="2C9B5481" w14:textId="77777777" w:rsidR="007E408D" w:rsidRDefault="007E408D">
      <w:pPr>
        <w:jc w:val="both"/>
      </w:pPr>
    </w:p>
    <w:p w14:paraId="5E0591BB" w14:textId="77777777" w:rsidR="007E408D" w:rsidRDefault="007E408D">
      <w:pPr>
        <w:jc w:val="both"/>
      </w:pPr>
    </w:p>
    <w:p w14:paraId="16B4ADF8" w14:textId="77777777" w:rsidR="007E408D" w:rsidRDefault="007E408D">
      <w:pPr>
        <w:jc w:val="both"/>
      </w:pPr>
    </w:p>
    <w:p w14:paraId="42813863" w14:textId="5E3AAF90" w:rsidR="008C3617" w:rsidRPr="007A3047" w:rsidRDefault="007A3047" w:rsidP="00C84CC9">
      <w:pPr>
        <w:pStyle w:val="ListParagraph"/>
        <w:numPr>
          <w:ilvl w:val="0"/>
          <w:numId w:val="2"/>
        </w:numPr>
        <w:jc w:val="both"/>
        <w:rPr>
          <w:b/>
          <w:sz w:val="24"/>
          <w:szCs w:val="24"/>
        </w:rPr>
      </w:pPr>
      <w:r w:rsidRPr="007A3047">
        <w:rPr>
          <w:b/>
          <w:sz w:val="24"/>
          <w:szCs w:val="24"/>
        </w:rPr>
        <w:lastRenderedPageBreak/>
        <w:t>Cukriniu diabetu sergančių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044524D7" w14:textId="77777777">
        <w:tc>
          <w:tcPr>
            <w:tcW w:w="3544" w:type="dxa"/>
          </w:tcPr>
          <w:p w14:paraId="725D1477" w14:textId="77777777" w:rsidR="008C3617" w:rsidRDefault="00D02CE4">
            <w:pPr>
              <w:spacing w:after="0" w:line="240" w:lineRule="auto"/>
              <w:rPr>
                <w:b/>
              </w:rPr>
            </w:pPr>
            <w:r>
              <w:rPr>
                <w:b/>
              </w:rPr>
              <w:t>Rizikos ligos/būklės</w:t>
            </w:r>
          </w:p>
        </w:tc>
        <w:tc>
          <w:tcPr>
            <w:tcW w:w="3544" w:type="dxa"/>
          </w:tcPr>
          <w:p w14:paraId="77E705A6" w14:textId="77777777" w:rsidR="008C3617" w:rsidRDefault="00D02CE4">
            <w:pPr>
              <w:spacing w:after="0" w:line="240" w:lineRule="auto"/>
              <w:rPr>
                <w:b/>
              </w:rPr>
            </w:pPr>
            <w:r>
              <w:rPr>
                <w:b/>
              </w:rPr>
              <w:t>Rekomenduojamos vakcinos</w:t>
            </w:r>
          </w:p>
        </w:tc>
        <w:tc>
          <w:tcPr>
            <w:tcW w:w="4111" w:type="dxa"/>
          </w:tcPr>
          <w:p w14:paraId="74D0AB36" w14:textId="77777777" w:rsidR="008C3617" w:rsidRDefault="00D02CE4">
            <w:pPr>
              <w:spacing w:after="0" w:line="240" w:lineRule="auto"/>
              <w:rPr>
                <w:b/>
              </w:rPr>
            </w:pPr>
            <w:r>
              <w:rPr>
                <w:b/>
              </w:rPr>
              <w:t>Pastabos dėl vakcinų vartojimo</w:t>
            </w:r>
          </w:p>
        </w:tc>
      </w:tr>
      <w:tr w:rsidR="00490142" w14:paraId="35ACB587" w14:textId="77777777" w:rsidTr="00734AC1">
        <w:trPr>
          <w:trHeight w:val="368"/>
        </w:trPr>
        <w:tc>
          <w:tcPr>
            <w:tcW w:w="3544" w:type="dxa"/>
            <w:vMerge w:val="restart"/>
          </w:tcPr>
          <w:p w14:paraId="6BA30712" w14:textId="77777777" w:rsidR="00490142" w:rsidRPr="00461890" w:rsidRDefault="00490142" w:rsidP="007A1A6C">
            <w:pPr>
              <w:spacing w:after="0" w:line="240" w:lineRule="auto"/>
              <w:jc w:val="both"/>
              <w:rPr>
                <w:b/>
              </w:rPr>
            </w:pPr>
            <w:r w:rsidRPr="00461890">
              <w:rPr>
                <w:b/>
              </w:rPr>
              <w:t>Cukrinis diabetas</w:t>
            </w:r>
          </w:p>
        </w:tc>
        <w:tc>
          <w:tcPr>
            <w:tcW w:w="3544" w:type="dxa"/>
          </w:tcPr>
          <w:p w14:paraId="68533BDE" w14:textId="196F5BBD" w:rsidR="00490142" w:rsidRDefault="00490142" w:rsidP="007A1A6C">
            <w:pPr>
              <w:spacing w:after="0" w:line="240" w:lineRule="auto"/>
              <w:jc w:val="both"/>
            </w:pPr>
            <w:r>
              <w:t>Sezoninė gripo vakcina</w:t>
            </w:r>
          </w:p>
        </w:tc>
        <w:tc>
          <w:tcPr>
            <w:tcW w:w="4111" w:type="dxa"/>
          </w:tcPr>
          <w:p w14:paraId="5C2C9714" w14:textId="183A1C72" w:rsidR="00490142" w:rsidRDefault="00490142" w:rsidP="007A1A6C">
            <w:pPr>
              <w:spacing w:after="0" w:line="240" w:lineRule="auto"/>
              <w:jc w:val="both"/>
            </w:pPr>
            <w:r>
              <w:t>1 dozė kas</w:t>
            </w:r>
            <w:r w:rsidRPr="006A2DE6">
              <w:t>met</w:t>
            </w:r>
            <w:r>
              <w:t xml:space="preserve"> prieš gripo sezoną.</w:t>
            </w:r>
          </w:p>
        </w:tc>
      </w:tr>
      <w:tr w:rsidR="00490142" w14:paraId="07737D3A" w14:textId="77777777">
        <w:trPr>
          <w:trHeight w:val="652"/>
        </w:trPr>
        <w:tc>
          <w:tcPr>
            <w:tcW w:w="3544" w:type="dxa"/>
            <w:vMerge/>
          </w:tcPr>
          <w:p w14:paraId="3DBCDF06" w14:textId="77777777" w:rsidR="00490142" w:rsidRDefault="00490142" w:rsidP="007A1A6C">
            <w:pPr>
              <w:spacing w:after="0" w:line="240" w:lineRule="auto"/>
              <w:jc w:val="both"/>
            </w:pPr>
          </w:p>
        </w:tc>
        <w:tc>
          <w:tcPr>
            <w:tcW w:w="3544" w:type="dxa"/>
          </w:tcPr>
          <w:p w14:paraId="11C4C100" w14:textId="601F27A4" w:rsidR="00490142" w:rsidRDefault="00490142" w:rsidP="007A1A6C">
            <w:pPr>
              <w:spacing w:after="0" w:line="240" w:lineRule="auto"/>
              <w:jc w:val="both"/>
            </w:pPr>
            <w:r>
              <w:t>Pneumokokinė vakcina</w:t>
            </w:r>
          </w:p>
        </w:tc>
        <w:tc>
          <w:tcPr>
            <w:tcW w:w="4111" w:type="dxa"/>
          </w:tcPr>
          <w:p w14:paraId="3C01B655" w14:textId="77777777" w:rsidR="00490142" w:rsidRPr="00317B7F" w:rsidRDefault="00490142" w:rsidP="00317B7F">
            <w:pPr>
              <w:spacing w:after="0" w:line="240" w:lineRule="auto"/>
              <w:jc w:val="both"/>
              <w:rPr>
                <w:lang w:val="lt-LT"/>
              </w:rPr>
            </w:pPr>
            <w:r w:rsidRPr="00317B7F">
              <w:rPr>
                <w:lang w:val="lt-LT"/>
              </w:rPr>
              <w:t>Asmenys, kurie anksčiau nebuvo skiepyti pneumokokine vakcina (PKV13 ar PPSV23): 1 dozė PKV13.</w:t>
            </w:r>
          </w:p>
          <w:p w14:paraId="059A31C1" w14:textId="28BCBD30" w:rsidR="00490142" w:rsidRDefault="00490142" w:rsidP="00317B7F">
            <w:pPr>
              <w:spacing w:after="0" w:line="240" w:lineRule="auto"/>
              <w:jc w:val="both"/>
            </w:pPr>
            <w:r w:rsidRPr="00317B7F">
              <w:rPr>
                <w:lang w:val="lt-LT"/>
              </w:rPr>
              <w:t>Asmenys, kurie anksčiau buvo skiepyti PPSV23, bet nebuvo skiepyti PKV13: papildomai turėtų būti paskiepyti PKV13 praėjus mažiausiai 1 metams po PPSV23.</w:t>
            </w:r>
          </w:p>
        </w:tc>
      </w:tr>
      <w:tr w:rsidR="00490142" w14:paraId="56E3AC90" w14:textId="77777777">
        <w:trPr>
          <w:trHeight w:val="1089"/>
        </w:trPr>
        <w:tc>
          <w:tcPr>
            <w:tcW w:w="3544" w:type="dxa"/>
            <w:vMerge/>
          </w:tcPr>
          <w:p w14:paraId="7497D1D0" w14:textId="77777777" w:rsidR="00490142" w:rsidRDefault="00490142" w:rsidP="007A1A6C">
            <w:pPr>
              <w:spacing w:after="0" w:line="240" w:lineRule="auto"/>
              <w:jc w:val="both"/>
            </w:pPr>
          </w:p>
        </w:tc>
        <w:tc>
          <w:tcPr>
            <w:tcW w:w="3544" w:type="dxa"/>
          </w:tcPr>
          <w:p w14:paraId="0F2392C7" w14:textId="77777777" w:rsidR="00587DA0" w:rsidRDefault="00490142" w:rsidP="007A1A6C">
            <w:pPr>
              <w:spacing w:after="0" w:line="240" w:lineRule="auto"/>
              <w:jc w:val="both"/>
            </w:pPr>
            <w:r>
              <w:t>VHB vakcina</w:t>
            </w:r>
          </w:p>
          <w:p w14:paraId="638FAFC9" w14:textId="62C29277" w:rsidR="00490142" w:rsidRDefault="00490142" w:rsidP="007A1A6C">
            <w:pPr>
              <w:spacing w:after="0" w:line="240" w:lineRule="auto"/>
              <w:jc w:val="both"/>
            </w:pPr>
            <w:r>
              <w:t>(neskiepytiems)</w:t>
            </w:r>
          </w:p>
        </w:tc>
        <w:tc>
          <w:tcPr>
            <w:tcW w:w="4111" w:type="dxa"/>
          </w:tcPr>
          <w:p w14:paraId="1A57AF87" w14:textId="26CDF01F" w:rsidR="00490142" w:rsidRDefault="00490142" w:rsidP="00A843DE">
            <w:pPr>
              <w:spacing w:after="0" w:line="240" w:lineRule="auto"/>
            </w:pPr>
            <w:r>
              <w:t xml:space="preserve">Skiepyti 19-59 metų asmenis, spręsti, ar reikia skiepyti vyresnius nei 60 metų amžiaus asmenius. </w:t>
            </w:r>
          </w:p>
          <w:p w14:paraId="22A89CCE" w14:textId="77777777" w:rsidR="00490142" w:rsidRDefault="00490142" w:rsidP="00A843DE">
            <w:pPr>
              <w:spacing w:after="0" w:line="240" w:lineRule="auto"/>
            </w:pPr>
            <w:r>
              <w:t xml:space="preserve">HBsAg, anti-HBc ir anti-HBs neigiamiems asmenims 3 dozių po 20 µg </w:t>
            </w:r>
          </w:p>
          <w:p w14:paraId="1EF05FCC" w14:textId="17282459" w:rsidR="00490142" w:rsidRDefault="00490142" w:rsidP="00A843DE">
            <w:pPr>
              <w:spacing w:after="0" w:line="240" w:lineRule="auto"/>
            </w:pPr>
            <w:r>
              <w:t xml:space="preserve">kursas pagal schemą: 0, 1 ir 6 mėnesiai. Jeigu, praėjus 1-2 mėnesiams po paskutinės skiepijimo dozės, aptinkama anti-HBs koncentracija &lt; 10 mTV/ml, tęsti skiepijimą ta pačia schema iki 3 dozių po 20 µg. </w:t>
            </w:r>
          </w:p>
          <w:p w14:paraId="30F58B09" w14:textId="51B4C4D7" w:rsidR="00490142" w:rsidRDefault="00490142" w:rsidP="00A843DE">
            <w:pPr>
              <w:spacing w:after="0" w:line="240" w:lineRule="auto"/>
            </w:pPr>
            <w:r>
              <w:t>Galimos kitos skiepijimo schemos pagal vakcinų aprašus.</w:t>
            </w:r>
          </w:p>
        </w:tc>
      </w:tr>
      <w:tr w:rsidR="00490142" w14:paraId="33E69A20" w14:textId="77777777" w:rsidTr="00490142">
        <w:trPr>
          <w:trHeight w:val="1051"/>
        </w:trPr>
        <w:tc>
          <w:tcPr>
            <w:tcW w:w="3544" w:type="dxa"/>
            <w:vMerge/>
          </w:tcPr>
          <w:p w14:paraId="775FF769" w14:textId="0697D9F9" w:rsidR="00490142" w:rsidRDefault="00490142" w:rsidP="007A1A6C">
            <w:pPr>
              <w:spacing w:after="0" w:line="240" w:lineRule="auto"/>
              <w:jc w:val="both"/>
            </w:pPr>
          </w:p>
        </w:tc>
        <w:tc>
          <w:tcPr>
            <w:tcW w:w="3544" w:type="dxa"/>
          </w:tcPr>
          <w:p w14:paraId="37A374F3" w14:textId="0C06A4BF" w:rsidR="00490142" w:rsidRDefault="00490142" w:rsidP="007A1A6C">
            <w:pPr>
              <w:spacing w:after="0" w:line="240" w:lineRule="auto"/>
              <w:jc w:val="both"/>
            </w:pPr>
            <w:r>
              <w:t>Td arba Tdap vakcina</w:t>
            </w:r>
          </w:p>
        </w:tc>
        <w:tc>
          <w:tcPr>
            <w:tcW w:w="4111" w:type="dxa"/>
          </w:tcPr>
          <w:p w14:paraId="14CA6738" w14:textId="5397AE9B" w:rsidR="00490142" w:rsidRDefault="00490142" w:rsidP="00FB50E6">
            <w:r>
              <w:t xml:space="preserve">1 dozė kas 10 metų </w:t>
            </w:r>
            <w:r w:rsidRPr="00FB50E6">
              <w:t xml:space="preserve">(Td vakcina), </w:t>
            </w:r>
            <w:r w:rsidRPr="00FB50E6">
              <w:rPr>
                <w:lang w:val="lt-LT"/>
              </w:rPr>
              <w:t>vieną revakcinaciją Td vakcina pakeisti revakcinacija nuo kokliušo, difterijos ir stabligės (Tdap vakcina), esant galimybei.</w:t>
            </w:r>
          </w:p>
        </w:tc>
      </w:tr>
      <w:tr w:rsidR="00490142" w14:paraId="1976EEF2" w14:textId="77777777">
        <w:trPr>
          <w:trHeight w:val="1897"/>
        </w:trPr>
        <w:tc>
          <w:tcPr>
            <w:tcW w:w="3544" w:type="dxa"/>
            <w:vMerge/>
          </w:tcPr>
          <w:p w14:paraId="2ED0AFA5" w14:textId="77777777" w:rsidR="00490142" w:rsidRDefault="00490142" w:rsidP="007A1A6C">
            <w:pPr>
              <w:spacing w:after="0" w:line="240" w:lineRule="auto"/>
              <w:jc w:val="both"/>
            </w:pPr>
          </w:p>
        </w:tc>
        <w:tc>
          <w:tcPr>
            <w:tcW w:w="3544" w:type="dxa"/>
          </w:tcPr>
          <w:p w14:paraId="16EF15A0" w14:textId="42AA9A5B" w:rsidR="00490142" w:rsidRDefault="00490142" w:rsidP="007A1A6C">
            <w:pPr>
              <w:jc w:val="both"/>
            </w:pPr>
            <w:r>
              <w:t>Erkinio encefalito vakcina</w:t>
            </w:r>
          </w:p>
        </w:tc>
        <w:tc>
          <w:tcPr>
            <w:tcW w:w="4111" w:type="dxa"/>
          </w:tcPr>
          <w:p w14:paraId="6D1D55F1" w14:textId="7614BD66" w:rsidR="00490142" w:rsidRDefault="00490142" w:rsidP="00FB50E6">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00BF2F22">
              <w:rPr>
                <w:color w:val="000000"/>
              </w:rPr>
              <w:t xml:space="preserve"> </w:t>
            </w:r>
            <w:r w:rsidR="00BF2F22" w:rsidRPr="007A76BB">
              <w:rPr>
                <w:color w:val="000000"/>
              </w:rPr>
              <w:t xml:space="preserve">Revakcinacija kas </w:t>
            </w:r>
            <w:r w:rsidR="00BF2F22" w:rsidRPr="0004367C">
              <w:rPr>
                <w:color w:val="000000" w:themeColor="text1"/>
              </w:rPr>
              <w:t>3 -5 metai (priklausomai nuo vakcinos gamintojo).</w:t>
            </w:r>
          </w:p>
        </w:tc>
      </w:tr>
    </w:tbl>
    <w:p w14:paraId="62CF7131" w14:textId="77777777" w:rsidR="008C3617" w:rsidRDefault="008C3617">
      <w:pPr>
        <w:jc w:val="both"/>
      </w:pPr>
    </w:p>
    <w:p w14:paraId="4B3648AE" w14:textId="77777777" w:rsidR="008C3617" w:rsidRPr="00A52D8F" w:rsidRDefault="00D02CE4">
      <w:pPr>
        <w:spacing w:after="120"/>
        <w:rPr>
          <w:b/>
        </w:rPr>
      </w:pPr>
      <w:r w:rsidRPr="00A52D8F">
        <w:rPr>
          <w:b/>
        </w:rPr>
        <w:t>Paaiškinimai:</w:t>
      </w:r>
    </w:p>
    <w:p w14:paraId="7C8F19EB" w14:textId="75EAE2D0" w:rsidR="008C3617" w:rsidRDefault="00D02CE4">
      <w:pPr>
        <w:spacing w:after="120"/>
      </w:pPr>
      <w:r>
        <w:t>PCV13 – pneumokokinė polisacharidinė konjuguota 13-valentė vakcina</w:t>
      </w:r>
    </w:p>
    <w:p w14:paraId="18E23CFE" w14:textId="24BDA34D" w:rsidR="008C3617" w:rsidRDefault="00D02CE4">
      <w:pPr>
        <w:spacing w:after="120"/>
      </w:pPr>
      <w:r>
        <w:t>PPSV23 – pneumokokinė polisacharidinė 23-valentė vakcina</w:t>
      </w:r>
    </w:p>
    <w:p w14:paraId="3A4A900D" w14:textId="04304634" w:rsidR="008C3617" w:rsidRPr="00E02AA1" w:rsidRDefault="00D02CE4">
      <w:pPr>
        <w:spacing w:after="120"/>
      </w:pPr>
      <w:r w:rsidRPr="00E02AA1">
        <w:t>VHB – virusini</w:t>
      </w:r>
      <w:r w:rsidR="00280983" w:rsidRPr="00E02AA1">
        <w:t>o</w:t>
      </w:r>
      <w:r w:rsidRPr="00E02AA1">
        <w:t xml:space="preserve"> hepatit</w:t>
      </w:r>
      <w:r w:rsidR="00280983" w:rsidRPr="00E02AA1">
        <w:t>o</w:t>
      </w:r>
      <w:r w:rsidRPr="00E02AA1">
        <w:t xml:space="preserve"> B</w:t>
      </w:r>
      <w:r w:rsidR="00280983" w:rsidRPr="00E02AA1">
        <w:t xml:space="preserve"> vakcina</w:t>
      </w:r>
    </w:p>
    <w:p w14:paraId="56AA9185" w14:textId="77777777" w:rsidR="00563523" w:rsidRPr="00E02AA1" w:rsidRDefault="00563523" w:rsidP="00563523">
      <w:pPr>
        <w:spacing w:after="120"/>
      </w:pPr>
      <w:r w:rsidRPr="00E02AA1">
        <w:t>HBsAg – hepatito B viruso paviršiaus antigenas</w:t>
      </w:r>
    </w:p>
    <w:p w14:paraId="689D826A" w14:textId="77777777" w:rsidR="00563523" w:rsidRPr="00E02AA1" w:rsidRDefault="00563523" w:rsidP="00563523">
      <w:pPr>
        <w:spacing w:after="120"/>
      </w:pPr>
      <w:r w:rsidRPr="00E02AA1">
        <w:t>Anti-HBc – antikūnai prieš hepatito B viruso šerdinį antigeną</w:t>
      </w:r>
    </w:p>
    <w:p w14:paraId="584B2A82" w14:textId="7DA11A4F" w:rsidR="00563523" w:rsidRPr="00E02AA1" w:rsidRDefault="00563523" w:rsidP="00563523">
      <w:pPr>
        <w:spacing w:after="120"/>
      </w:pPr>
      <w:r w:rsidRPr="00E02AA1">
        <w:lastRenderedPageBreak/>
        <w:t>Anti-HBs – antikūnai prieš hepatito B viruso paviršiaus antigeną</w:t>
      </w:r>
    </w:p>
    <w:p w14:paraId="598509E7" w14:textId="14886C3D" w:rsidR="008C3617" w:rsidRPr="00E02AA1" w:rsidRDefault="00D02CE4">
      <w:pPr>
        <w:spacing w:after="120"/>
      </w:pPr>
      <w:r w:rsidRPr="00E02AA1">
        <w:t xml:space="preserve">Td – </w:t>
      </w:r>
      <w:r w:rsidR="006F6201" w:rsidRPr="00E02AA1">
        <w:t xml:space="preserve">difterijos, stabligės toksoidų </w:t>
      </w:r>
      <w:r w:rsidRPr="00E02AA1">
        <w:t>vakcina</w:t>
      </w:r>
    </w:p>
    <w:p w14:paraId="5FD9D22F" w14:textId="4B01DEA7" w:rsidR="008C3617" w:rsidRDefault="00D02CE4">
      <w:pPr>
        <w:spacing w:after="120"/>
      </w:pPr>
      <w:r w:rsidRPr="00E02AA1">
        <w:t xml:space="preserve">Tdap - difterijos, stabligės toksoidų ir </w:t>
      </w:r>
      <w:r w:rsidR="00280983" w:rsidRPr="00E02AA1">
        <w:t xml:space="preserve">neląstelinio </w:t>
      </w:r>
      <w:r w:rsidRPr="00E02AA1">
        <w:t>kokliušo vakcina</w:t>
      </w:r>
    </w:p>
    <w:p w14:paraId="42614B29" w14:textId="77777777" w:rsidR="008C3617" w:rsidRDefault="008C3617">
      <w:pPr>
        <w:spacing w:after="120"/>
      </w:pPr>
    </w:p>
    <w:p w14:paraId="298D47ED" w14:textId="77777777" w:rsidR="008C3617" w:rsidRPr="00A52D8F" w:rsidRDefault="00D02CE4">
      <w:pPr>
        <w:jc w:val="both"/>
        <w:rPr>
          <w:b/>
        </w:rPr>
      </w:pPr>
      <w:r w:rsidRPr="00A52D8F">
        <w:rPr>
          <w:b/>
        </w:rPr>
        <w:t>Literatūros šaltiniai:</w:t>
      </w:r>
    </w:p>
    <w:p w14:paraId="20789CC4" w14:textId="20EB7185" w:rsidR="008C3617" w:rsidRPr="00E073EC" w:rsidRDefault="00D02CE4" w:rsidP="00E073EC">
      <w:pPr>
        <w:pStyle w:val="ListParagraph1"/>
        <w:numPr>
          <w:ilvl w:val="0"/>
          <w:numId w:val="11"/>
        </w:numPr>
        <w:jc w:val="both"/>
        <w:rPr>
          <w:sz w:val="24"/>
          <w:szCs w:val="24"/>
        </w:rPr>
      </w:pPr>
      <w:r w:rsidRPr="00E073EC">
        <w:t xml:space="preserve">The American Diabetes Association’s Standards </w:t>
      </w:r>
      <w:r w:rsidR="00246CB4" w:rsidRPr="00E073EC">
        <w:t>of Medical Care in Diabetes 2017. Diabetes Care Volume 40, Supplement 1, January 2017</w:t>
      </w:r>
      <w:r w:rsidRPr="00E073EC">
        <w:t>.</w:t>
      </w:r>
    </w:p>
    <w:p w14:paraId="730884FC" w14:textId="77777777" w:rsidR="00A936E8" w:rsidRDefault="00A936E8">
      <w:pPr>
        <w:jc w:val="both"/>
        <w:rPr>
          <w:b/>
          <w:sz w:val="24"/>
          <w:szCs w:val="24"/>
        </w:rPr>
      </w:pPr>
    </w:p>
    <w:p w14:paraId="272D7D0C" w14:textId="2A4995EE" w:rsidR="008C3617" w:rsidRPr="00BF7305" w:rsidRDefault="007A3047" w:rsidP="00C84CC9">
      <w:pPr>
        <w:pStyle w:val="ListParagraph"/>
        <w:numPr>
          <w:ilvl w:val="0"/>
          <w:numId w:val="2"/>
        </w:numPr>
        <w:jc w:val="both"/>
        <w:rPr>
          <w:b/>
          <w:sz w:val="24"/>
          <w:szCs w:val="24"/>
        </w:rPr>
      </w:pPr>
      <w:r w:rsidRPr="00BF7305">
        <w:rPr>
          <w:b/>
          <w:sz w:val="24"/>
          <w:szCs w:val="24"/>
        </w:rPr>
        <w:t>ŽIV infekuotų pacientų skiepijimo rekomendacijos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4111"/>
      </w:tblGrid>
      <w:tr w:rsidR="008C3617" w14:paraId="42903B14" w14:textId="77777777">
        <w:tc>
          <w:tcPr>
            <w:tcW w:w="3544" w:type="dxa"/>
          </w:tcPr>
          <w:p w14:paraId="1722FBCB" w14:textId="77777777" w:rsidR="008C3617" w:rsidRDefault="00D02CE4">
            <w:pPr>
              <w:spacing w:after="0" w:line="240" w:lineRule="auto"/>
              <w:rPr>
                <w:b/>
              </w:rPr>
            </w:pPr>
            <w:r>
              <w:rPr>
                <w:b/>
              </w:rPr>
              <w:t>Rizikos ligos/būklės</w:t>
            </w:r>
          </w:p>
        </w:tc>
        <w:tc>
          <w:tcPr>
            <w:tcW w:w="3544" w:type="dxa"/>
          </w:tcPr>
          <w:p w14:paraId="34226AB2" w14:textId="77777777" w:rsidR="008C3617" w:rsidRDefault="00D02CE4">
            <w:pPr>
              <w:spacing w:after="0" w:line="240" w:lineRule="auto"/>
              <w:rPr>
                <w:b/>
              </w:rPr>
            </w:pPr>
            <w:r>
              <w:rPr>
                <w:b/>
              </w:rPr>
              <w:t>Rekomenduojamos vakcinos</w:t>
            </w:r>
          </w:p>
        </w:tc>
        <w:tc>
          <w:tcPr>
            <w:tcW w:w="4111" w:type="dxa"/>
          </w:tcPr>
          <w:p w14:paraId="2764013D" w14:textId="77777777" w:rsidR="008C3617" w:rsidRDefault="00D02CE4">
            <w:pPr>
              <w:spacing w:after="0" w:line="240" w:lineRule="auto"/>
              <w:rPr>
                <w:b/>
              </w:rPr>
            </w:pPr>
            <w:r>
              <w:rPr>
                <w:b/>
              </w:rPr>
              <w:t>Pastabos dėl vakcinų vartojimo</w:t>
            </w:r>
          </w:p>
        </w:tc>
      </w:tr>
      <w:tr w:rsidR="008C3617" w14:paraId="65253681" w14:textId="77777777">
        <w:trPr>
          <w:trHeight w:val="368"/>
        </w:trPr>
        <w:tc>
          <w:tcPr>
            <w:tcW w:w="3544" w:type="dxa"/>
            <w:vMerge w:val="restart"/>
          </w:tcPr>
          <w:p w14:paraId="18572318" w14:textId="77777777" w:rsidR="00654AC1" w:rsidRDefault="003B21B4" w:rsidP="007A1A6C">
            <w:pPr>
              <w:spacing w:after="0" w:line="240" w:lineRule="auto"/>
              <w:jc w:val="both"/>
              <w:rPr>
                <w:b/>
              </w:rPr>
            </w:pPr>
            <w:r w:rsidRPr="0009134E">
              <w:rPr>
                <w:b/>
              </w:rPr>
              <w:t xml:space="preserve">CD4 limfocitų </w:t>
            </w:r>
          </w:p>
          <w:p w14:paraId="323757C4" w14:textId="61EA07EA" w:rsidR="008C3617" w:rsidRPr="0009134E" w:rsidRDefault="003B21B4" w:rsidP="007A1A6C">
            <w:pPr>
              <w:spacing w:after="0" w:line="240" w:lineRule="auto"/>
              <w:jc w:val="both"/>
              <w:rPr>
                <w:b/>
              </w:rPr>
            </w:pPr>
            <w:r w:rsidRPr="0009134E">
              <w:rPr>
                <w:b/>
              </w:rPr>
              <w:t>skaičius</w:t>
            </w:r>
            <w:r w:rsidR="008A3B0C" w:rsidRPr="0009134E">
              <w:rPr>
                <w:b/>
              </w:rPr>
              <w:t xml:space="preserve"> </w:t>
            </w:r>
            <w:r w:rsidRPr="0009134E">
              <w:rPr>
                <w:b/>
                <w:lang w:val="lt-LT"/>
              </w:rPr>
              <w:t>≥</w:t>
            </w:r>
            <w:r w:rsidR="00D02CE4" w:rsidRPr="0009134E">
              <w:rPr>
                <w:b/>
              </w:rPr>
              <w:t>200/mm</w:t>
            </w:r>
            <w:r w:rsidR="00D02CE4" w:rsidRPr="0009134E">
              <w:rPr>
                <w:b/>
                <w:vertAlign w:val="superscript"/>
              </w:rPr>
              <w:t>3</w:t>
            </w:r>
          </w:p>
        </w:tc>
        <w:tc>
          <w:tcPr>
            <w:tcW w:w="3544" w:type="dxa"/>
          </w:tcPr>
          <w:p w14:paraId="102ECA74" w14:textId="26A62FF7" w:rsidR="008C3617" w:rsidRDefault="00D02CE4" w:rsidP="007A1A6C">
            <w:pPr>
              <w:spacing w:after="0" w:line="240" w:lineRule="auto"/>
              <w:jc w:val="both"/>
            </w:pPr>
            <w:r>
              <w:t>Sezoninė gripo</w:t>
            </w:r>
            <w:r w:rsidR="008A3B0C">
              <w:t xml:space="preserve"> vakcina</w:t>
            </w:r>
          </w:p>
        </w:tc>
        <w:tc>
          <w:tcPr>
            <w:tcW w:w="4111" w:type="dxa"/>
          </w:tcPr>
          <w:p w14:paraId="6E198C38" w14:textId="1F0D6AE4" w:rsidR="008C3617" w:rsidRDefault="006A2DE6" w:rsidP="007A1A6C">
            <w:pPr>
              <w:spacing w:after="0" w:line="240" w:lineRule="auto"/>
              <w:jc w:val="both"/>
            </w:pPr>
            <w:r>
              <w:t>1 dozė kas</w:t>
            </w:r>
            <w:r w:rsidRPr="006A2DE6">
              <w:t>met</w:t>
            </w:r>
            <w:r w:rsidR="00C06F75">
              <w:t xml:space="preserve"> prieš gripo sezoną</w:t>
            </w:r>
            <w:r w:rsidR="00D02CE4">
              <w:t>.</w:t>
            </w:r>
          </w:p>
        </w:tc>
      </w:tr>
      <w:tr w:rsidR="008C3617" w14:paraId="3351E9D4" w14:textId="77777777">
        <w:trPr>
          <w:trHeight w:val="418"/>
        </w:trPr>
        <w:tc>
          <w:tcPr>
            <w:tcW w:w="3544" w:type="dxa"/>
            <w:vMerge/>
          </w:tcPr>
          <w:p w14:paraId="5FA8DDEF" w14:textId="77777777" w:rsidR="008C3617" w:rsidRDefault="008C3617" w:rsidP="007A1A6C">
            <w:pPr>
              <w:spacing w:after="0" w:line="240" w:lineRule="auto"/>
              <w:jc w:val="both"/>
            </w:pPr>
          </w:p>
        </w:tc>
        <w:tc>
          <w:tcPr>
            <w:tcW w:w="3544" w:type="dxa"/>
          </w:tcPr>
          <w:p w14:paraId="6C570951" w14:textId="01A4D6B1" w:rsidR="008C3617" w:rsidRDefault="00D02CE4" w:rsidP="007A1A6C">
            <w:pPr>
              <w:spacing w:after="0" w:line="240" w:lineRule="auto"/>
              <w:jc w:val="both"/>
            </w:pPr>
            <w:r>
              <w:t>Td</w:t>
            </w:r>
            <w:r w:rsidR="008A3B0C">
              <w:t xml:space="preserve"> arba </w:t>
            </w:r>
            <w:r>
              <w:t>Tdap vakcin</w:t>
            </w:r>
            <w:r w:rsidR="008A3B0C">
              <w:t>a</w:t>
            </w:r>
          </w:p>
        </w:tc>
        <w:tc>
          <w:tcPr>
            <w:tcW w:w="4111" w:type="dxa"/>
          </w:tcPr>
          <w:p w14:paraId="620D4D0D" w14:textId="21D4C395" w:rsidR="008C3617" w:rsidRDefault="00FB50E6" w:rsidP="00FB50E6">
            <w:pPr>
              <w:spacing w:after="0" w:line="240" w:lineRule="auto"/>
            </w:pPr>
            <w:r>
              <w:t xml:space="preserve">1 dozė kas 10 metų </w:t>
            </w:r>
            <w:r w:rsidRPr="00FB50E6">
              <w:t xml:space="preserve">(Td vakcina), </w:t>
            </w:r>
            <w:r w:rsidRPr="00FB50E6">
              <w:rPr>
                <w:lang w:val="lt-LT"/>
              </w:rPr>
              <w:t>vieną revakcinaciją Td vakcina pakeisti revakcinacija nuo kokliušo, difterijos ir stabligės (Tdap vakcina), esant galimybei.</w:t>
            </w:r>
          </w:p>
        </w:tc>
      </w:tr>
      <w:tr w:rsidR="008C3617" w14:paraId="6EAAB7DA" w14:textId="77777777">
        <w:trPr>
          <w:trHeight w:val="426"/>
        </w:trPr>
        <w:tc>
          <w:tcPr>
            <w:tcW w:w="3544" w:type="dxa"/>
            <w:vMerge/>
          </w:tcPr>
          <w:p w14:paraId="68843863" w14:textId="77777777" w:rsidR="008C3617" w:rsidRDefault="008C3617" w:rsidP="007A1A6C">
            <w:pPr>
              <w:spacing w:after="0" w:line="240" w:lineRule="auto"/>
              <w:jc w:val="both"/>
            </w:pPr>
          </w:p>
        </w:tc>
        <w:tc>
          <w:tcPr>
            <w:tcW w:w="3544" w:type="dxa"/>
          </w:tcPr>
          <w:p w14:paraId="33742E05" w14:textId="18DD951A" w:rsidR="008C3617" w:rsidRDefault="00D02CE4" w:rsidP="007A1A6C">
            <w:pPr>
              <w:spacing w:after="0" w:line="240" w:lineRule="auto"/>
              <w:jc w:val="both"/>
            </w:pPr>
            <w:r>
              <w:t>Vėjaraupių</w:t>
            </w:r>
            <w:r w:rsidR="008A3B0C">
              <w:t xml:space="preserve"> vakcina</w:t>
            </w:r>
          </w:p>
        </w:tc>
        <w:tc>
          <w:tcPr>
            <w:tcW w:w="4111" w:type="dxa"/>
          </w:tcPr>
          <w:p w14:paraId="0B16398E" w14:textId="466E209C" w:rsidR="008C3617" w:rsidRDefault="0081406E" w:rsidP="00C06F75">
            <w:pPr>
              <w:spacing w:after="0" w:line="240" w:lineRule="auto"/>
              <w:jc w:val="both"/>
            </w:pPr>
            <w:r>
              <w:t xml:space="preserve">Rekomenduojama </w:t>
            </w:r>
            <w:r w:rsidR="008A3B0C">
              <w:t xml:space="preserve">skiepyti </w:t>
            </w:r>
            <w:r w:rsidR="00D02CE4">
              <w:t xml:space="preserve">2 </w:t>
            </w:r>
            <w:r w:rsidR="008A3B0C">
              <w:t xml:space="preserve">vakcinos </w:t>
            </w:r>
            <w:r w:rsidR="00D02CE4">
              <w:t>doz</w:t>
            </w:r>
            <w:r w:rsidR="008A3B0C">
              <w:t>e</w:t>
            </w:r>
            <w:r w:rsidR="00D02CE4">
              <w:t xml:space="preserve">s su </w:t>
            </w:r>
            <w:r w:rsidR="00C06F75">
              <w:t>didesniu nei</w:t>
            </w:r>
            <w:r w:rsidR="008A3B0C" w:rsidRPr="00F624BB">
              <w:t xml:space="preserve"> </w:t>
            </w:r>
            <w:r w:rsidR="00D02CE4" w:rsidRPr="00F624BB">
              <w:t>3</w:t>
            </w:r>
            <w:r w:rsidR="00D02CE4">
              <w:t xml:space="preserve"> mėn</w:t>
            </w:r>
            <w:r w:rsidR="008A3B0C">
              <w:t xml:space="preserve">esių </w:t>
            </w:r>
            <w:r w:rsidR="00F624BB">
              <w:t>intervalu</w:t>
            </w:r>
            <w:r w:rsidR="00D02CE4">
              <w:t>.</w:t>
            </w:r>
          </w:p>
        </w:tc>
      </w:tr>
      <w:tr w:rsidR="008C3617" w14:paraId="3E68CDEB" w14:textId="77777777">
        <w:trPr>
          <w:trHeight w:val="652"/>
        </w:trPr>
        <w:tc>
          <w:tcPr>
            <w:tcW w:w="3544" w:type="dxa"/>
            <w:vMerge/>
          </w:tcPr>
          <w:p w14:paraId="265C1A09" w14:textId="77777777" w:rsidR="008C3617" w:rsidRDefault="008C3617" w:rsidP="007A1A6C">
            <w:pPr>
              <w:spacing w:after="0" w:line="240" w:lineRule="auto"/>
              <w:jc w:val="both"/>
            </w:pPr>
          </w:p>
        </w:tc>
        <w:tc>
          <w:tcPr>
            <w:tcW w:w="3544" w:type="dxa"/>
          </w:tcPr>
          <w:p w14:paraId="5C3C1859" w14:textId="77777777" w:rsidR="00654AC1" w:rsidRDefault="00D02CE4" w:rsidP="007A1A6C">
            <w:pPr>
              <w:spacing w:after="0" w:line="240" w:lineRule="auto"/>
              <w:jc w:val="both"/>
            </w:pPr>
            <w:r>
              <w:t>Žmogaus papilomos viruso</w:t>
            </w:r>
            <w:r w:rsidR="008A3B0C">
              <w:t xml:space="preserve"> </w:t>
            </w:r>
          </w:p>
          <w:p w14:paraId="365F9E37" w14:textId="087F08D8" w:rsidR="008C3617" w:rsidRDefault="008A3B0C" w:rsidP="007A1A6C">
            <w:pPr>
              <w:spacing w:after="0" w:line="240" w:lineRule="auto"/>
              <w:jc w:val="both"/>
            </w:pPr>
            <w:r>
              <w:t>vakcina</w:t>
            </w:r>
          </w:p>
        </w:tc>
        <w:tc>
          <w:tcPr>
            <w:tcW w:w="4111" w:type="dxa"/>
          </w:tcPr>
          <w:p w14:paraId="0D4580BF" w14:textId="19C3324E" w:rsidR="008C3617" w:rsidRDefault="006F6201" w:rsidP="007A1A6C">
            <w:pPr>
              <w:spacing w:after="0" w:line="240" w:lineRule="auto"/>
              <w:jc w:val="both"/>
            </w:pPr>
            <w:r>
              <w:t xml:space="preserve">3 dozių kursas </w:t>
            </w:r>
            <w:r w:rsidR="00D02CE4">
              <w:t>moterims pagal vakcinų aprašus.</w:t>
            </w:r>
          </w:p>
        </w:tc>
      </w:tr>
      <w:tr w:rsidR="008C3617" w14:paraId="0D67D9EC" w14:textId="77777777">
        <w:trPr>
          <w:trHeight w:val="647"/>
        </w:trPr>
        <w:tc>
          <w:tcPr>
            <w:tcW w:w="3544" w:type="dxa"/>
            <w:vMerge/>
          </w:tcPr>
          <w:p w14:paraId="55B0827E" w14:textId="77777777" w:rsidR="008C3617" w:rsidRDefault="008C3617" w:rsidP="007A1A6C">
            <w:pPr>
              <w:spacing w:after="0" w:line="240" w:lineRule="auto"/>
              <w:jc w:val="both"/>
            </w:pPr>
          </w:p>
        </w:tc>
        <w:tc>
          <w:tcPr>
            <w:tcW w:w="3544" w:type="dxa"/>
          </w:tcPr>
          <w:p w14:paraId="6F8AF89B" w14:textId="33DA2F1C" w:rsidR="008C3617" w:rsidRDefault="00D02CE4" w:rsidP="00654AC1">
            <w:pPr>
              <w:spacing w:after="0" w:line="240" w:lineRule="auto"/>
            </w:pPr>
            <w:r>
              <w:t>Tymų, epideminio parotito, raudonukės</w:t>
            </w:r>
            <w:r w:rsidR="008A3B0C">
              <w:t xml:space="preserve"> vakcina</w:t>
            </w:r>
          </w:p>
        </w:tc>
        <w:tc>
          <w:tcPr>
            <w:tcW w:w="4111" w:type="dxa"/>
          </w:tcPr>
          <w:p w14:paraId="41705489" w14:textId="64E2AD97" w:rsidR="008C3617" w:rsidRDefault="00D02CE4" w:rsidP="007A1A6C">
            <w:pPr>
              <w:spacing w:after="0" w:line="240" w:lineRule="auto"/>
              <w:jc w:val="both"/>
            </w:pPr>
            <w:r>
              <w:t xml:space="preserve">1 arba 2 </w:t>
            </w:r>
            <w:r w:rsidR="008A3B0C">
              <w:t xml:space="preserve">vakcinos </w:t>
            </w:r>
            <w:r>
              <w:t>dozės protrūkio metu</w:t>
            </w:r>
            <w:r w:rsidR="008A3B0C">
              <w:t>.</w:t>
            </w:r>
          </w:p>
        </w:tc>
      </w:tr>
      <w:tr w:rsidR="008C3617" w14:paraId="7705497E" w14:textId="77777777">
        <w:trPr>
          <w:trHeight w:val="1681"/>
        </w:trPr>
        <w:tc>
          <w:tcPr>
            <w:tcW w:w="3544" w:type="dxa"/>
            <w:vMerge/>
          </w:tcPr>
          <w:p w14:paraId="641FF784" w14:textId="77777777" w:rsidR="008C3617" w:rsidRDefault="008C3617" w:rsidP="007A1A6C">
            <w:pPr>
              <w:spacing w:after="0" w:line="240" w:lineRule="auto"/>
              <w:jc w:val="both"/>
            </w:pPr>
          </w:p>
        </w:tc>
        <w:tc>
          <w:tcPr>
            <w:tcW w:w="3544" w:type="dxa"/>
          </w:tcPr>
          <w:p w14:paraId="3967796A" w14:textId="544E08D5" w:rsidR="008C3617" w:rsidRDefault="00D02CE4" w:rsidP="007A1A6C">
            <w:pPr>
              <w:spacing w:after="0" w:line="240" w:lineRule="auto"/>
              <w:jc w:val="both"/>
            </w:pPr>
            <w:r>
              <w:t>Pneumokokinė</w:t>
            </w:r>
            <w:r w:rsidR="008A3B0C">
              <w:t xml:space="preserve"> vakcina</w:t>
            </w:r>
          </w:p>
        </w:tc>
        <w:tc>
          <w:tcPr>
            <w:tcW w:w="4111" w:type="dxa"/>
          </w:tcPr>
          <w:p w14:paraId="3AC96472" w14:textId="77777777" w:rsidR="00317B7F" w:rsidRPr="00317B7F" w:rsidRDefault="00317B7F" w:rsidP="00317B7F">
            <w:pPr>
              <w:spacing w:after="0" w:line="240" w:lineRule="auto"/>
              <w:jc w:val="both"/>
              <w:rPr>
                <w:lang w:val="lt-LT"/>
              </w:rPr>
            </w:pPr>
            <w:r w:rsidRPr="00317B7F">
              <w:rPr>
                <w:lang w:val="lt-LT"/>
              </w:rPr>
              <w:t>Asmenys, kurie anksčiau nebuvo skiepyti pneumokokine vakcina (PKV13 ar PPSV23): 1 dozė PKV13.</w:t>
            </w:r>
          </w:p>
          <w:p w14:paraId="51A9B804" w14:textId="5B1F335E" w:rsidR="008C3617" w:rsidRDefault="00317B7F" w:rsidP="00317B7F">
            <w:pPr>
              <w:spacing w:after="0" w:line="240" w:lineRule="auto"/>
              <w:jc w:val="both"/>
            </w:pPr>
            <w:r w:rsidRPr="00317B7F">
              <w:rPr>
                <w:lang w:val="lt-LT"/>
              </w:rPr>
              <w:t>Asmenys, kurie anksčiau buvo skiepyti PPSV23, bet nebuvo skiepyti PKV13: papildomai turėtų būti paskiepyti PKV13 praėjus mažiausiai 1 metams po PPSV23.</w:t>
            </w:r>
          </w:p>
        </w:tc>
      </w:tr>
      <w:tr w:rsidR="008C3617" w14:paraId="3CAF0A7E" w14:textId="77777777">
        <w:trPr>
          <w:trHeight w:val="1298"/>
        </w:trPr>
        <w:tc>
          <w:tcPr>
            <w:tcW w:w="3544" w:type="dxa"/>
            <w:vMerge/>
          </w:tcPr>
          <w:p w14:paraId="20E15106" w14:textId="77777777" w:rsidR="008C3617" w:rsidRDefault="008C3617" w:rsidP="007A1A6C">
            <w:pPr>
              <w:spacing w:after="0" w:line="240" w:lineRule="auto"/>
              <w:jc w:val="both"/>
            </w:pPr>
          </w:p>
        </w:tc>
        <w:tc>
          <w:tcPr>
            <w:tcW w:w="3544" w:type="dxa"/>
          </w:tcPr>
          <w:p w14:paraId="5A57D161" w14:textId="1E0B3FB1" w:rsidR="008C3617" w:rsidRDefault="00D02CE4" w:rsidP="007A1A6C">
            <w:pPr>
              <w:spacing w:after="0" w:line="240" w:lineRule="auto"/>
              <w:jc w:val="both"/>
            </w:pPr>
            <w:r>
              <w:t>VHB vakcina</w:t>
            </w:r>
          </w:p>
        </w:tc>
        <w:tc>
          <w:tcPr>
            <w:tcW w:w="4111" w:type="dxa"/>
          </w:tcPr>
          <w:p w14:paraId="76086F9E" w14:textId="0A6489C3" w:rsidR="008C3617" w:rsidRDefault="00C078A7" w:rsidP="009D024E">
            <w:pPr>
              <w:spacing w:after="0" w:line="240" w:lineRule="auto"/>
            </w:pPr>
            <w:r>
              <w:t>HBsAg, anti-HBc ir anti-HBs neigiamiems asmenims 3 dozių po 40 µg kursas pagal schemą: 0, 1 ir 6 mėn</w:t>
            </w:r>
            <w:r w:rsidR="007E0043">
              <w:t>esiai</w:t>
            </w:r>
            <w:r>
              <w:t xml:space="preserve">. </w:t>
            </w:r>
            <w:r w:rsidR="00D02CE4">
              <w:t>Jeigu</w:t>
            </w:r>
            <w:r w:rsidR="009D024E">
              <w:t>,</w:t>
            </w:r>
            <w:r w:rsidR="00D02CE4">
              <w:t xml:space="preserve"> praėjus 1-2 mėn</w:t>
            </w:r>
            <w:r>
              <w:t xml:space="preserve">esiams </w:t>
            </w:r>
            <w:r w:rsidR="00D02CE4">
              <w:t xml:space="preserve">po paskutinės dozės </w:t>
            </w:r>
            <w:r>
              <w:t xml:space="preserve">skiepijimo aptinkama </w:t>
            </w:r>
            <w:r w:rsidR="00D02CE4">
              <w:t>anti-HBs koncentracija &lt;</w:t>
            </w:r>
            <w:r>
              <w:t xml:space="preserve"> </w:t>
            </w:r>
            <w:r w:rsidR="00D02CE4">
              <w:t>10 m</w:t>
            </w:r>
            <w:r>
              <w:t>TV</w:t>
            </w:r>
            <w:r w:rsidR="00D02CE4">
              <w:t xml:space="preserve">/ml ir </w:t>
            </w:r>
            <w:r>
              <w:t xml:space="preserve">neaptinkamas </w:t>
            </w:r>
            <w:r w:rsidR="00D02CE4">
              <w:t>HBsAg, pakartoti 3 dozių po 40 µg kursą.</w:t>
            </w:r>
          </w:p>
        </w:tc>
      </w:tr>
      <w:tr w:rsidR="008C3617" w14:paraId="52ED1F69" w14:textId="77777777">
        <w:trPr>
          <w:trHeight w:val="323"/>
        </w:trPr>
        <w:tc>
          <w:tcPr>
            <w:tcW w:w="3544" w:type="dxa"/>
            <w:vMerge/>
          </w:tcPr>
          <w:p w14:paraId="223254A0" w14:textId="77777777" w:rsidR="008C3617" w:rsidRDefault="008C3617" w:rsidP="007A1A6C">
            <w:pPr>
              <w:spacing w:after="0" w:line="240" w:lineRule="auto"/>
              <w:jc w:val="both"/>
            </w:pPr>
          </w:p>
        </w:tc>
        <w:tc>
          <w:tcPr>
            <w:tcW w:w="3544" w:type="dxa"/>
          </w:tcPr>
          <w:p w14:paraId="7FE53139" w14:textId="77777777" w:rsidR="008C3617" w:rsidRDefault="00D02CE4" w:rsidP="007A1A6C">
            <w:pPr>
              <w:spacing w:after="0" w:line="240" w:lineRule="auto"/>
              <w:jc w:val="both"/>
            </w:pPr>
            <w:r>
              <w:t>Erkinio encefalito vakcina</w:t>
            </w:r>
          </w:p>
        </w:tc>
        <w:tc>
          <w:tcPr>
            <w:tcW w:w="4111" w:type="dxa"/>
          </w:tcPr>
          <w:p w14:paraId="169E5344" w14:textId="3F967367" w:rsidR="008C3617" w:rsidRPr="00C06F75" w:rsidRDefault="00A252A9" w:rsidP="00A252A9">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r w:rsidR="008C3617" w14:paraId="7DBFF6D3" w14:textId="77777777">
        <w:trPr>
          <w:trHeight w:val="425"/>
        </w:trPr>
        <w:tc>
          <w:tcPr>
            <w:tcW w:w="3544" w:type="dxa"/>
            <w:vMerge w:val="restart"/>
          </w:tcPr>
          <w:p w14:paraId="6A3E7EB0" w14:textId="77777777" w:rsidR="00654AC1" w:rsidRDefault="00D02CE4" w:rsidP="007A1A6C">
            <w:pPr>
              <w:spacing w:after="0" w:line="240" w:lineRule="auto"/>
              <w:jc w:val="both"/>
              <w:rPr>
                <w:b/>
              </w:rPr>
            </w:pPr>
            <w:r w:rsidRPr="0009134E">
              <w:rPr>
                <w:b/>
              </w:rPr>
              <w:t xml:space="preserve">CD4 limfocitų </w:t>
            </w:r>
          </w:p>
          <w:p w14:paraId="6DDAD276" w14:textId="7A8F083D" w:rsidR="008C3617" w:rsidRPr="0009134E" w:rsidRDefault="00D02CE4" w:rsidP="007A1A6C">
            <w:pPr>
              <w:spacing w:after="0" w:line="240" w:lineRule="auto"/>
              <w:jc w:val="both"/>
              <w:rPr>
                <w:b/>
              </w:rPr>
            </w:pPr>
            <w:r w:rsidRPr="0009134E">
              <w:rPr>
                <w:b/>
              </w:rPr>
              <w:lastRenderedPageBreak/>
              <w:t>skaičius &lt;</w:t>
            </w:r>
            <w:r w:rsidR="00C078A7" w:rsidRPr="0009134E">
              <w:rPr>
                <w:b/>
              </w:rPr>
              <w:t xml:space="preserve"> </w:t>
            </w:r>
            <w:r w:rsidRPr="0009134E">
              <w:rPr>
                <w:b/>
              </w:rPr>
              <w:t>200/mm</w:t>
            </w:r>
            <w:r w:rsidRPr="0009134E">
              <w:rPr>
                <w:b/>
                <w:vertAlign w:val="superscript"/>
              </w:rPr>
              <w:t>3</w:t>
            </w:r>
          </w:p>
        </w:tc>
        <w:tc>
          <w:tcPr>
            <w:tcW w:w="3544" w:type="dxa"/>
          </w:tcPr>
          <w:p w14:paraId="7EC8F877" w14:textId="01AAB2D6" w:rsidR="008C3617" w:rsidRDefault="00D02CE4" w:rsidP="007A1A6C">
            <w:pPr>
              <w:spacing w:after="0" w:line="240" w:lineRule="auto"/>
              <w:jc w:val="both"/>
            </w:pPr>
            <w:r>
              <w:lastRenderedPageBreak/>
              <w:t>Sezoninė gripo</w:t>
            </w:r>
            <w:r w:rsidR="00C078A7">
              <w:t xml:space="preserve"> vakcina</w:t>
            </w:r>
          </w:p>
        </w:tc>
        <w:tc>
          <w:tcPr>
            <w:tcW w:w="4111" w:type="dxa"/>
          </w:tcPr>
          <w:p w14:paraId="7EF0FA51" w14:textId="237E3628" w:rsidR="008C3617" w:rsidRDefault="00D50B5C" w:rsidP="007A1A6C">
            <w:pPr>
              <w:spacing w:after="0" w:line="240" w:lineRule="auto"/>
              <w:jc w:val="both"/>
            </w:pPr>
            <w:r>
              <w:t>1 dozė kasmet</w:t>
            </w:r>
            <w:r w:rsidR="00BC015C">
              <w:t xml:space="preserve"> prieš gripo sezoną</w:t>
            </w:r>
            <w:r w:rsidR="00D02CE4">
              <w:t>.</w:t>
            </w:r>
          </w:p>
        </w:tc>
      </w:tr>
      <w:tr w:rsidR="008C3617" w14:paraId="7E1FCE22" w14:textId="77777777">
        <w:trPr>
          <w:trHeight w:val="420"/>
        </w:trPr>
        <w:tc>
          <w:tcPr>
            <w:tcW w:w="3544" w:type="dxa"/>
            <w:vMerge/>
          </w:tcPr>
          <w:p w14:paraId="486CF12A" w14:textId="77777777" w:rsidR="008C3617" w:rsidRDefault="008C3617" w:rsidP="007A1A6C">
            <w:pPr>
              <w:spacing w:after="0" w:line="240" w:lineRule="auto"/>
              <w:jc w:val="both"/>
            </w:pPr>
          </w:p>
        </w:tc>
        <w:tc>
          <w:tcPr>
            <w:tcW w:w="3544" w:type="dxa"/>
          </w:tcPr>
          <w:p w14:paraId="166CC37C" w14:textId="7FAE3523" w:rsidR="008C3617" w:rsidRDefault="00D02CE4" w:rsidP="007A1A6C">
            <w:pPr>
              <w:spacing w:after="0" w:line="240" w:lineRule="auto"/>
              <w:jc w:val="both"/>
            </w:pPr>
            <w:r>
              <w:t>Td</w:t>
            </w:r>
            <w:r w:rsidR="00C078A7">
              <w:t xml:space="preserve"> arba </w:t>
            </w:r>
            <w:r>
              <w:t>Tdap vakcin</w:t>
            </w:r>
            <w:r w:rsidR="00C078A7">
              <w:t>a</w:t>
            </w:r>
          </w:p>
        </w:tc>
        <w:tc>
          <w:tcPr>
            <w:tcW w:w="4111" w:type="dxa"/>
          </w:tcPr>
          <w:p w14:paraId="65941CC0" w14:textId="436DBB3C" w:rsidR="008C3617" w:rsidRDefault="00D50B5C" w:rsidP="00D50B5C">
            <w:pPr>
              <w:spacing w:after="0" w:line="240" w:lineRule="auto"/>
            </w:pPr>
            <w:r>
              <w:t xml:space="preserve">1 dozė kas 10 metų </w:t>
            </w:r>
            <w:r w:rsidRPr="00D50B5C">
              <w:t xml:space="preserve">(Td vakcina), </w:t>
            </w:r>
            <w:r w:rsidRPr="00D50B5C">
              <w:rPr>
                <w:lang w:val="lt-LT"/>
              </w:rPr>
              <w:t>vieną revakcinaciją Td vakcina pakeisti revakcinacija nuo kokliušo, difterijos ir stabligės (Tdap vakcina), esant galimybei.</w:t>
            </w:r>
          </w:p>
        </w:tc>
      </w:tr>
      <w:tr w:rsidR="008C3617" w14:paraId="2AEFE086" w14:textId="77777777">
        <w:trPr>
          <w:trHeight w:val="420"/>
        </w:trPr>
        <w:tc>
          <w:tcPr>
            <w:tcW w:w="3544" w:type="dxa"/>
            <w:vMerge/>
          </w:tcPr>
          <w:p w14:paraId="2533ED22" w14:textId="77777777" w:rsidR="008C3617" w:rsidRDefault="008C3617" w:rsidP="007A1A6C">
            <w:pPr>
              <w:spacing w:after="0" w:line="240" w:lineRule="auto"/>
              <w:jc w:val="both"/>
            </w:pPr>
          </w:p>
        </w:tc>
        <w:tc>
          <w:tcPr>
            <w:tcW w:w="3544" w:type="dxa"/>
          </w:tcPr>
          <w:p w14:paraId="541CF1B7" w14:textId="28F95819" w:rsidR="008C3617" w:rsidRDefault="00D02CE4" w:rsidP="007A1A6C">
            <w:pPr>
              <w:spacing w:after="0" w:line="240" w:lineRule="auto"/>
              <w:jc w:val="both"/>
            </w:pPr>
            <w:r>
              <w:t>Pneumokokinė</w:t>
            </w:r>
            <w:r w:rsidR="00C078A7">
              <w:t xml:space="preserve"> vakcina</w:t>
            </w:r>
          </w:p>
        </w:tc>
        <w:tc>
          <w:tcPr>
            <w:tcW w:w="4111" w:type="dxa"/>
          </w:tcPr>
          <w:p w14:paraId="6E95DB1F" w14:textId="77777777" w:rsidR="00FC53AB" w:rsidRPr="00FC53AB" w:rsidRDefault="00FC53AB" w:rsidP="00FC53AB">
            <w:pPr>
              <w:spacing w:after="0" w:line="240" w:lineRule="auto"/>
              <w:jc w:val="both"/>
              <w:rPr>
                <w:lang w:val="lt-LT"/>
              </w:rPr>
            </w:pPr>
            <w:r w:rsidRPr="00FC53AB">
              <w:rPr>
                <w:lang w:val="lt-LT"/>
              </w:rPr>
              <w:t>Asmenys, kurie anksčiau nebuvo skiepyti pneumokokine vakcina (PKV13 ar PPSV23): 1 dozė PKV13.</w:t>
            </w:r>
          </w:p>
          <w:p w14:paraId="7571D471" w14:textId="06042ED9" w:rsidR="008C3617" w:rsidRDefault="00FC53AB" w:rsidP="00FC53AB">
            <w:pPr>
              <w:spacing w:after="0" w:line="240" w:lineRule="auto"/>
              <w:jc w:val="both"/>
            </w:pPr>
            <w:r w:rsidRPr="00FC53AB">
              <w:rPr>
                <w:lang w:val="lt-LT"/>
              </w:rPr>
              <w:t>Asmenys, kurie anksčiau buvo skiepyti PPSV23, bet nebuvo skiepyti PKV13: papildomai turėtų būti paskiepyti PKV13 praėjus mažiausiai 1 metams po PPSV23.</w:t>
            </w:r>
          </w:p>
        </w:tc>
      </w:tr>
      <w:tr w:rsidR="008C3617" w14:paraId="7E1564F0" w14:textId="77777777">
        <w:trPr>
          <w:trHeight w:val="420"/>
        </w:trPr>
        <w:tc>
          <w:tcPr>
            <w:tcW w:w="3544" w:type="dxa"/>
            <w:vMerge/>
          </w:tcPr>
          <w:p w14:paraId="4F8536B1" w14:textId="77777777" w:rsidR="008C3617" w:rsidRDefault="008C3617" w:rsidP="007A1A6C">
            <w:pPr>
              <w:spacing w:after="0" w:line="240" w:lineRule="auto"/>
              <w:jc w:val="both"/>
            </w:pPr>
          </w:p>
        </w:tc>
        <w:tc>
          <w:tcPr>
            <w:tcW w:w="3544" w:type="dxa"/>
          </w:tcPr>
          <w:p w14:paraId="633ADB11" w14:textId="12F5C2FB" w:rsidR="008C3617" w:rsidRDefault="00D02CE4" w:rsidP="007A1A6C">
            <w:pPr>
              <w:spacing w:after="0" w:line="240" w:lineRule="auto"/>
              <w:jc w:val="both"/>
            </w:pPr>
            <w:r>
              <w:t>VHB vakcina</w:t>
            </w:r>
          </w:p>
        </w:tc>
        <w:tc>
          <w:tcPr>
            <w:tcW w:w="4111" w:type="dxa"/>
          </w:tcPr>
          <w:p w14:paraId="63F30BB7" w14:textId="37CD031D" w:rsidR="008C3617" w:rsidRDefault="00FA35CE" w:rsidP="0081406E">
            <w:pPr>
              <w:spacing w:after="0" w:line="240" w:lineRule="auto"/>
            </w:pPr>
            <w:r>
              <w:t>HBsAg, anti-HBc ir anti-HBs neigiamiems asmenims 3 dozių po 40 µg kursas pagal schemą: 0, 1 ir 6 mėn</w:t>
            </w:r>
            <w:r w:rsidR="00BC015C">
              <w:t>esiai</w:t>
            </w:r>
            <w:r>
              <w:t>.</w:t>
            </w:r>
            <w:r w:rsidR="00D02CE4">
              <w:t xml:space="preserve"> </w:t>
            </w:r>
            <w:r>
              <w:t>Jeigu</w:t>
            </w:r>
            <w:r w:rsidR="003A5B5B">
              <w:t>,</w:t>
            </w:r>
            <w:r>
              <w:t xml:space="preserve"> praėjus 1-2 mėnesiams po paskutinės </w:t>
            </w:r>
            <w:r w:rsidR="003A5B5B">
              <w:t>dozes,</w:t>
            </w:r>
            <w:r>
              <w:t xml:space="preserve"> aptinkama anti-HBs koncentracija &lt; 10 mTV/ml ir neaptinkamas HBsAg, pakartoti 3 dozių po 40 µg kursą.</w:t>
            </w:r>
          </w:p>
        </w:tc>
      </w:tr>
      <w:tr w:rsidR="008C3617" w14:paraId="0EF8EA5D" w14:textId="77777777">
        <w:trPr>
          <w:trHeight w:val="420"/>
        </w:trPr>
        <w:tc>
          <w:tcPr>
            <w:tcW w:w="3544" w:type="dxa"/>
            <w:vMerge/>
          </w:tcPr>
          <w:p w14:paraId="15CE35E3" w14:textId="77777777" w:rsidR="008C3617" w:rsidRDefault="008C3617" w:rsidP="007A1A6C">
            <w:pPr>
              <w:spacing w:after="0" w:line="240" w:lineRule="auto"/>
              <w:jc w:val="both"/>
            </w:pPr>
          </w:p>
        </w:tc>
        <w:tc>
          <w:tcPr>
            <w:tcW w:w="3544" w:type="dxa"/>
          </w:tcPr>
          <w:p w14:paraId="22F6121E" w14:textId="77777777" w:rsidR="008C3617" w:rsidRDefault="00D02CE4" w:rsidP="007A1A6C">
            <w:pPr>
              <w:spacing w:after="0" w:line="240" w:lineRule="auto"/>
              <w:jc w:val="both"/>
            </w:pPr>
            <w:r>
              <w:t>Erkinio encefalito vakcina</w:t>
            </w:r>
          </w:p>
        </w:tc>
        <w:tc>
          <w:tcPr>
            <w:tcW w:w="4111" w:type="dxa"/>
          </w:tcPr>
          <w:p w14:paraId="5521DBC5" w14:textId="131942E3" w:rsidR="008C3617" w:rsidRPr="00BC015C" w:rsidRDefault="005A7727" w:rsidP="005A7727">
            <w:pPr>
              <w:spacing w:after="0" w:line="240" w:lineRule="auto"/>
              <w:rPr>
                <w:color w:val="000000"/>
                <w:sz w:val="24"/>
                <w:szCs w:val="24"/>
              </w:rPr>
            </w:pPr>
            <w:r w:rsidRPr="007A76BB">
              <w:rPr>
                <w:color w:val="000000"/>
              </w:rPr>
              <w:t xml:space="preserve">3 vakcinos dozės: </w:t>
            </w:r>
            <w:r>
              <w:t>tarp 1-os ir 2-</w:t>
            </w:r>
            <w:r w:rsidRPr="007A76BB">
              <w:t xml:space="preserve">os vakcinos dozių rekomenduojamas </w:t>
            </w:r>
            <w:r>
              <w:t>1-3 mėnesių intervalas, tarp 2-os ir 3-i</w:t>
            </w:r>
            <w:r w:rsidRPr="007A76BB">
              <w:t xml:space="preserve">os vakcinos dozių rekomenduojamas </w:t>
            </w:r>
            <w:r>
              <w:t xml:space="preserve">5-12 arba </w:t>
            </w:r>
            <w:r w:rsidRPr="007A76BB">
              <w:t xml:space="preserve">9-12 </w:t>
            </w:r>
            <w:r>
              <w:t xml:space="preserve">(priklausomai nuo vakcinos gamintojo) </w:t>
            </w:r>
            <w:r w:rsidRPr="007A76BB">
              <w:t>mėnesių intervalas.</w:t>
            </w:r>
            <w:r w:rsidRPr="007A76BB">
              <w:rPr>
                <w:color w:val="000000"/>
              </w:rPr>
              <w:t xml:space="preserve"> Revakcinacija kas 3 metai.</w:t>
            </w:r>
          </w:p>
        </w:tc>
      </w:tr>
    </w:tbl>
    <w:p w14:paraId="7E43A46F" w14:textId="77777777" w:rsidR="008C3617" w:rsidRDefault="008C3617">
      <w:pPr>
        <w:jc w:val="both"/>
      </w:pPr>
    </w:p>
    <w:p w14:paraId="04082E70" w14:textId="77777777" w:rsidR="008C3617" w:rsidRPr="00A52D8F" w:rsidRDefault="00D02CE4">
      <w:pPr>
        <w:spacing w:after="120"/>
        <w:rPr>
          <w:b/>
        </w:rPr>
      </w:pPr>
      <w:r w:rsidRPr="00A52D8F">
        <w:rPr>
          <w:b/>
        </w:rPr>
        <w:t>Paaiškinimai:</w:t>
      </w:r>
    </w:p>
    <w:p w14:paraId="48EA38C2" w14:textId="07CC531C" w:rsidR="008C3617" w:rsidRPr="00FE198A" w:rsidRDefault="00D02CE4">
      <w:pPr>
        <w:spacing w:after="120"/>
      </w:pPr>
      <w:r w:rsidRPr="00FE198A">
        <w:t>PCV13 – pneumokokinė polisacharidinė konjuguota 13-valentė vakcina</w:t>
      </w:r>
    </w:p>
    <w:p w14:paraId="5C903B8C" w14:textId="449D0FA5" w:rsidR="008C3617" w:rsidRPr="00FE198A" w:rsidRDefault="00D02CE4">
      <w:pPr>
        <w:spacing w:after="120"/>
      </w:pPr>
      <w:r w:rsidRPr="00FE198A">
        <w:t>PPSV23 – pneumokokinė polisacharidinė 23-valentė vakcina</w:t>
      </w:r>
    </w:p>
    <w:p w14:paraId="2449583B" w14:textId="199426B4" w:rsidR="008C3617" w:rsidRPr="00FE198A" w:rsidRDefault="00D02CE4">
      <w:pPr>
        <w:spacing w:after="120"/>
      </w:pPr>
      <w:r w:rsidRPr="00FE198A">
        <w:t>Td – difterijos, stabligės toksoidų vakcina</w:t>
      </w:r>
    </w:p>
    <w:p w14:paraId="2CCA9844" w14:textId="586E08CD" w:rsidR="008C3617" w:rsidRPr="00FE198A" w:rsidRDefault="00D02CE4">
      <w:pPr>
        <w:spacing w:after="120"/>
      </w:pPr>
      <w:r w:rsidRPr="00FE198A">
        <w:t xml:space="preserve">Tdap - difterijos, stabligės toksoidų ir </w:t>
      </w:r>
      <w:r w:rsidR="00FA35CE" w:rsidRPr="00FE198A">
        <w:t xml:space="preserve">neląstelinio </w:t>
      </w:r>
      <w:r w:rsidRPr="00FE198A">
        <w:t>kokliušo vakcina</w:t>
      </w:r>
    </w:p>
    <w:p w14:paraId="73403175" w14:textId="17DEB2F5" w:rsidR="008C3617" w:rsidRPr="00FE198A" w:rsidRDefault="00D02CE4">
      <w:pPr>
        <w:spacing w:after="120"/>
      </w:pPr>
      <w:r w:rsidRPr="00FE198A">
        <w:t>VHB – virusini</w:t>
      </w:r>
      <w:r w:rsidR="00FA35CE" w:rsidRPr="00FE198A">
        <w:t>o</w:t>
      </w:r>
      <w:r w:rsidRPr="00FE198A">
        <w:t xml:space="preserve"> hepatit</w:t>
      </w:r>
      <w:r w:rsidR="00FA35CE" w:rsidRPr="00FE198A">
        <w:t>o</w:t>
      </w:r>
      <w:r w:rsidRPr="00FE198A">
        <w:t xml:space="preserve"> B</w:t>
      </w:r>
      <w:r w:rsidR="00FA35CE" w:rsidRPr="00FE198A">
        <w:t xml:space="preserve"> vakcina</w:t>
      </w:r>
    </w:p>
    <w:p w14:paraId="751D3FAF" w14:textId="77777777" w:rsidR="003D0D9B" w:rsidRPr="00FE198A" w:rsidRDefault="003D0D9B" w:rsidP="003D0D9B">
      <w:pPr>
        <w:spacing w:after="120"/>
      </w:pPr>
      <w:r w:rsidRPr="00FE198A">
        <w:t>HBsAg – hepatito B viruso paviršiaus antigenas</w:t>
      </w:r>
    </w:p>
    <w:p w14:paraId="7E21047F" w14:textId="77777777" w:rsidR="003D0D9B" w:rsidRPr="00FE198A" w:rsidRDefault="003D0D9B" w:rsidP="003D0D9B">
      <w:pPr>
        <w:spacing w:after="120"/>
      </w:pPr>
      <w:r w:rsidRPr="00FE198A">
        <w:t>Anti-HBc – antikūnai prieš hepatito B viruso šerdinį antigeną</w:t>
      </w:r>
    </w:p>
    <w:p w14:paraId="00B63DA9" w14:textId="79070B8C" w:rsidR="008C3617" w:rsidRDefault="003D0D9B">
      <w:pPr>
        <w:spacing w:after="120"/>
      </w:pPr>
      <w:r w:rsidRPr="00FE198A">
        <w:t>Anti-HBs – antikūnai prieš hepatito B viruso paviršiaus antigeną</w:t>
      </w:r>
    </w:p>
    <w:p w14:paraId="6A681C16" w14:textId="77777777" w:rsidR="008C3617" w:rsidRDefault="008C3617">
      <w:pPr>
        <w:spacing w:after="120"/>
      </w:pPr>
    </w:p>
    <w:p w14:paraId="370A71D4" w14:textId="77777777" w:rsidR="008C3617" w:rsidRPr="00A52D8F" w:rsidRDefault="00D02CE4">
      <w:pPr>
        <w:jc w:val="both"/>
        <w:rPr>
          <w:b/>
        </w:rPr>
      </w:pPr>
      <w:r w:rsidRPr="00A52D8F">
        <w:rPr>
          <w:b/>
        </w:rPr>
        <w:t>Literatūros šaltiniai:</w:t>
      </w:r>
    </w:p>
    <w:p w14:paraId="26BD9E4B" w14:textId="77777777" w:rsidR="008C3617" w:rsidRDefault="00D02CE4">
      <w:pPr>
        <w:pStyle w:val="ListParagraph1"/>
        <w:numPr>
          <w:ilvl w:val="0"/>
          <w:numId w:val="12"/>
        </w:numPr>
        <w:jc w:val="both"/>
      </w:pPr>
      <w:r>
        <w:t>Use of 13-Valent Pneumococcal Conjugate Vaccine and 23-Valent Pneumococcal Polysaccharide Vaccine for Adults with Immunocompromising Conditions: Recommendations of the Advisory Committee on Immunization Practices (ACIP) MMWR/October 12, 2012/Vol.61/No 40</w:t>
      </w:r>
    </w:p>
    <w:p w14:paraId="4414C8A0" w14:textId="682AF65D" w:rsidR="008C3617" w:rsidRDefault="00D02CE4" w:rsidP="002831DA">
      <w:pPr>
        <w:pStyle w:val="ListParagraph1"/>
        <w:numPr>
          <w:ilvl w:val="0"/>
          <w:numId w:val="12"/>
        </w:numPr>
        <w:jc w:val="both"/>
      </w:pPr>
      <w:r>
        <w:t>Rubin et al. 2013 IDSA Clinical Practice Guideline for Vaccination of the Immunocompromised Host. Clinical infectious Diseases</w:t>
      </w:r>
      <w:r w:rsidR="00FA35CE">
        <w:t xml:space="preserve">. </w:t>
      </w:r>
      <w:r>
        <w:t>2014</w:t>
      </w:r>
      <w:r w:rsidR="00FA35CE">
        <w:t>;</w:t>
      </w:r>
      <w:r>
        <w:t xml:space="preserve"> 58 (3)</w:t>
      </w:r>
      <w:r w:rsidR="00FA35CE">
        <w:t>:</w:t>
      </w:r>
      <w:r>
        <w:t xml:space="preserve"> 309-318.</w:t>
      </w:r>
    </w:p>
    <w:p w14:paraId="3E55A6EF" w14:textId="3A4535CB" w:rsidR="00783CF5" w:rsidRPr="00012E06" w:rsidRDefault="00783CF5" w:rsidP="002831DA">
      <w:pPr>
        <w:pStyle w:val="ListParagraph1"/>
        <w:numPr>
          <w:ilvl w:val="0"/>
          <w:numId w:val="12"/>
        </w:numPr>
        <w:jc w:val="both"/>
        <w:rPr>
          <w:rFonts w:asciiTheme="minorHAnsi" w:hAnsiTheme="minorHAnsi"/>
        </w:rPr>
      </w:pPr>
      <w:r w:rsidRPr="00783CF5">
        <w:rPr>
          <w:rFonts w:asciiTheme="minorHAnsi" w:eastAsia="SimSun" w:hAnsiTheme="minorHAnsi" w:cs="Helvetica Neue"/>
          <w:lang w:eastAsia="zh-CN"/>
        </w:rPr>
        <w:lastRenderedPageBreak/>
        <w:t>Crum-Cianflone NF, Wallace MR. Vaccination in HIV-Infected Adults.</w:t>
      </w:r>
      <w:r>
        <w:rPr>
          <w:rFonts w:asciiTheme="minorHAnsi" w:eastAsia="SimSun" w:hAnsiTheme="minorHAnsi" w:cs="Helvetica Neue"/>
          <w:lang w:eastAsia="zh-CN"/>
        </w:rPr>
        <w:t xml:space="preserve"> </w:t>
      </w:r>
      <w:r w:rsidRPr="00783CF5">
        <w:rPr>
          <w:rFonts w:asciiTheme="minorHAnsi" w:eastAsia="SimSun" w:hAnsiTheme="minorHAnsi" w:cs="Helvetica Neue"/>
          <w:lang w:eastAsia="zh-CN"/>
        </w:rPr>
        <w:t>AIDS Patient Care STDS. 2014 Aug 1; 28(8): 397-410.</w:t>
      </w:r>
    </w:p>
    <w:p w14:paraId="4A4FF429" w14:textId="315CD910" w:rsidR="00012E06" w:rsidRPr="0004367C" w:rsidRDefault="00012E06" w:rsidP="002831DA">
      <w:pPr>
        <w:pStyle w:val="ListParagraph1"/>
        <w:numPr>
          <w:ilvl w:val="0"/>
          <w:numId w:val="12"/>
        </w:numPr>
        <w:jc w:val="both"/>
        <w:rPr>
          <w:rFonts w:asciiTheme="minorHAnsi" w:hAnsiTheme="minorHAnsi"/>
          <w:color w:val="000000" w:themeColor="text1"/>
        </w:rPr>
      </w:pPr>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p>
    <w:p w14:paraId="743674E1" w14:textId="56AF6B7E" w:rsidR="008C3617" w:rsidRPr="00BF7305" w:rsidRDefault="00BF7305" w:rsidP="00C84CC9">
      <w:pPr>
        <w:pStyle w:val="ListParagraph"/>
        <w:numPr>
          <w:ilvl w:val="0"/>
          <w:numId w:val="2"/>
        </w:numPr>
        <w:jc w:val="both"/>
        <w:rPr>
          <w:b/>
          <w:sz w:val="24"/>
          <w:szCs w:val="24"/>
        </w:rPr>
      </w:pPr>
      <w:r w:rsidRPr="00BF7305">
        <w:rPr>
          <w:b/>
          <w:sz w:val="24"/>
          <w:szCs w:val="24"/>
        </w:rPr>
        <w:t>S</w:t>
      </w:r>
      <w:r w:rsidR="00D02CE4" w:rsidRPr="00BF7305">
        <w:rPr>
          <w:b/>
          <w:sz w:val="24"/>
          <w:szCs w:val="24"/>
        </w:rPr>
        <w:t>uaugusiųjų kraujodaros kamieninių ląstelių transplantacijos (KKL</w:t>
      </w:r>
      <w:r w:rsidRPr="00BF7305">
        <w:rPr>
          <w:b/>
          <w:sz w:val="24"/>
          <w:szCs w:val="24"/>
        </w:rPr>
        <w:t>T) recipientų skiepijimo rekomendacijos</w:t>
      </w:r>
    </w:p>
    <w:tbl>
      <w:tblPr>
        <w:tblW w:w="1131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02"/>
        <w:gridCol w:w="4224"/>
      </w:tblGrid>
      <w:tr w:rsidR="008C3617" w14:paraId="285583BE" w14:textId="77777777">
        <w:tc>
          <w:tcPr>
            <w:tcW w:w="3686" w:type="dxa"/>
          </w:tcPr>
          <w:p w14:paraId="682EDFD6" w14:textId="77777777" w:rsidR="008C3617" w:rsidRPr="00CE6AC9" w:rsidRDefault="00D02CE4">
            <w:pPr>
              <w:spacing w:after="0" w:line="240" w:lineRule="auto"/>
              <w:rPr>
                <w:b/>
              </w:rPr>
            </w:pPr>
            <w:r w:rsidRPr="00CE6AC9">
              <w:rPr>
                <w:b/>
              </w:rPr>
              <w:t>Rizikos ligos/būklės</w:t>
            </w:r>
          </w:p>
        </w:tc>
        <w:tc>
          <w:tcPr>
            <w:tcW w:w="3402" w:type="dxa"/>
          </w:tcPr>
          <w:p w14:paraId="694DF792" w14:textId="77777777" w:rsidR="008C3617" w:rsidRPr="00CE6AC9" w:rsidRDefault="00D02CE4">
            <w:pPr>
              <w:spacing w:after="0" w:line="240" w:lineRule="auto"/>
              <w:rPr>
                <w:b/>
              </w:rPr>
            </w:pPr>
            <w:r w:rsidRPr="00CE6AC9">
              <w:rPr>
                <w:b/>
              </w:rPr>
              <w:t>Rekomenduojamos vakcinos</w:t>
            </w:r>
          </w:p>
        </w:tc>
        <w:tc>
          <w:tcPr>
            <w:tcW w:w="4224" w:type="dxa"/>
          </w:tcPr>
          <w:p w14:paraId="6F1F8C47" w14:textId="77777777" w:rsidR="008C3617" w:rsidRPr="00CE6AC9" w:rsidRDefault="00D02CE4">
            <w:pPr>
              <w:spacing w:after="0" w:line="240" w:lineRule="auto"/>
              <w:rPr>
                <w:b/>
              </w:rPr>
            </w:pPr>
            <w:r w:rsidRPr="00CE6AC9">
              <w:rPr>
                <w:b/>
              </w:rPr>
              <w:t>Pastabos dėl vakcinų vartojimo</w:t>
            </w:r>
          </w:p>
        </w:tc>
      </w:tr>
      <w:tr w:rsidR="008C3617" w14:paraId="2AB7C789" w14:textId="77777777">
        <w:trPr>
          <w:trHeight w:val="1217"/>
        </w:trPr>
        <w:tc>
          <w:tcPr>
            <w:tcW w:w="3686" w:type="dxa"/>
            <w:vMerge w:val="restart"/>
          </w:tcPr>
          <w:p w14:paraId="75C8DA31" w14:textId="77777777" w:rsidR="004C28E8" w:rsidRDefault="00D02CE4" w:rsidP="00903FD0">
            <w:pPr>
              <w:spacing w:after="0" w:line="240" w:lineRule="auto"/>
              <w:jc w:val="both"/>
              <w:rPr>
                <w:b/>
              </w:rPr>
            </w:pPr>
            <w:r w:rsidRPr="00CE6AC9">
              <w:rPr>
                <w:b/>
              </w:rPr>
              <w:t>Kraujodaros</w:t>
            </w:r>
          </w:p>
          <w:p w14:paraId="5C29A7F2" w14:textId="77777777" w:rsidR="004C28E8" w:rsidRDefault="00D02CE4" w:rsidP="00903FD0">
            <w:pPr>
              <w:spacing w:after="0" w:line="240" w:lineRule="auto"/>
              <w:jc w:val="both"/>
              <w:rPr>
                <w:b/>
              </w:rPr>
            </w:pPr>
            <w:r w:rsidRPr="00CE6AC9">
              <w:rPr>
                <w:b/>
              </w:rPr>
              <w:t xml:space="preserve"> kamieninių ląstelių </w:t>
            </w:r>
          </w:p>
          <w:p w14:paraId="7D037DA2" w14:textId="77777777" w:rsidR="004C28E8" w:rsidRDefault="00D02CE4" w:rsidP="00903FD0">
            <w:pPr>
              <w:spacing w:after="0" w:line="240" w:lineRule="auto"/>
              <w:jc w:val="both"/>
            </w:pPr>
            <w:proofErr w:type="gramStart"/>
            <w:r w:rsidRPr="00CE6AC9">
              <w:rPr>
                <w:b/>
              </w:rPr>
              <w:t>recipientai</w:t>
            </w:r>
            <w:proofErr w:type="gramEnd"/>
            <w:r w:rsidR="00903FD0" w:rsidRPr="00CE6AC9">
              <w:rPr>
                <w:b/>
              </w:rPr>
              <w:t xml:space="preserve"> </w:t>
            </w:r>
            <w:r w:rsidR="00903FD0" w:rsidRPr="00CE6AC9">
              <w:t>(žr.</w:t>
            </w:r>
          </w:p>
          <w:p w14:paraId="73ABE4EA" w14:textId="09F7B886" w:rsidR="008C3617" w:rsidRPr="00CE6AC9" w:rsidRDefault="00903FD0" w:rsidP="00903FD0">
            <w:pPr>
              <w:spacing w:after="0" w:line="240" w:lineRule="auto"/>
              <w:jc w:val="both"/>
              <w:rPr>
                <w:b/>
              </w:rPr>
            </w:pPr>
            <w:r w:rsidRPr="00CE6AC9">
              <w:t xml:space="preserve"> pastabas)</w:t>
            </w:r>
          </w:p>
        </w:tc>
        <w:tc>
          <w:tcPr>
            <w:tcW w:w="3402" w:type="dxa"/>
            <w:tcBorders>
              <w:bottom w:val="single" w:sz="4" w:space="0" w:color="auto"/>
            </w:tcBorders>
          </w:tcPr>
          <w:p w14:paraId="2479DD7F" w14:textId="07170A4E" w:rsidR="008C3617" w:rsidRPr="00CE6AC9" w:rsidRDefault="00D02CE4" w:rsidP="006E3C66">
            <w:pPr>
              <w:spacing w:after="0" w:line="240" w:lineRule="auto"/>
              <w:jc w:val="both"/>
            </w:pPr>
            <w:r w:rsidRPr="00CE6AC9">
              <w:t>Sezoninė gripo</w:t>
            </w:r>
            <w:r w:rsidR="006B12CD" w:rsidRPr="00CE6AC9">
              <w:t xml:space="preserve"> vakcina</w:t>
            </w:r>
          </w:p>
        </w:tc>
        <w:tc>
          <w:tcPr>
            <w:tcW w:w="4224" w:type="dxa"/>
            <w:tcBorders>
              <w:bottom w:val="single" w:sz="4" w:space="0" w:color="auto"/>
            </w:tcBorders>
          </w:tcPr>
          <w:p w14:paraId="7233079B" w14:textId="14D55583" w:rsidR="008C3617" w:rsidRPr="00CE6AC9" w:rsidRDefault="00D02CE4" w:rsidP="0087352A">
            <w:pPr>
              <w:spacing w:after="0" w:line="240" w:lineRule="auto"/>
              <w:jc w:val="both"/>
            </w:pPr>
            <w:r w:rsidRPr="00CE6AC9">
              <w:rPr>
                <w:color w:val="000000"/>
              </w:rPr>
              <w:t>1-2 dozės</w:t>
            </w:r>
            <w:r w:rsidRPr="00CE6AC9">
              <w:t xml:space="preserve"> ne anksčiau kaip po </w:t>
            </w:r>
            <w:r w:rsidR="00903FD0" w:rsidRPr="00CE6AC9">
              <w:t>3–4</w:t>
            </w:r>
            <w:r w:rsidR="009D5B1A" w:rsidRPr="00CE6AC9">
              <w:t xml:space="preserve"> mėnesių </w:t>
            </w:r>
            <w:r w:rsidRPr="00CE6AC9">
              <w:t xml:space="preserve">po KKLT, </w:t>
            </w:r>
            <w:r w:rsidR="009D5B1A" w:rsidRPr="00CE6AC9">
              <w:t>prieš gripo sezoną.</w:t>
            </w:r>
            <w:r w:rsidRPr="00CE6AC9">
              <w:t xml:space="preserve"> </w:t>
            </w:r>
            <w:r w:rsidRPr="00CE6AC9">
              <w:rPr>
                <w:color w:val="000000"/>
              </w:rPr>
              <w:t xml:space="preserve">2 dozės rekomenduojamos, jei vakcinacija atliekama </w:t>
            </w:r>
            <w:r w:rsidR="006B12CD" w:rsidRPr="00CE6AC9">
              <w:rPr>
                <w:color w:val="000000"/>
              </w:rPr>
              <w:t xml:space="preserve">praėjus mažiau negu </w:t>
            </w:r>
            <w:r w:rsidRPr="00CE6AC9">
              <w:rPr>
                <w:color w:val="000000"/>
              </w:rPr>
              <w:t>6 mėn</w:t>
            </w:r>
            <w:r w:rsidR="006B12CD" w:rsidRPr="00CE6AC9">
              <w:rPr>
                <w:color w:val="000000"/>
              </w:rPr>
              <w:t xml:space="preserve">esiams </w:t>
            </w:r>
            <w:r w:rsidRPr="00CE6AC9">
              <w:rPr>
                <w:color w:val="000000"/>
              </w:rPr>
              <w:t>po KKLT</w:t>
            </w:r>
            <w:r w:rsidR="006B12CD" w:rsidRPr="00CE6AC9">
              <w:rPr>
                <w:color w:val="000000"/>
              </w:rPr>
              <w:t>.</w:t>
            </w:r>
            <w:r w:rsidR="009D5B1A" w:rsidRPr="00CE6AC9">
              <w:rPr>
                <w:color w:val="000000"/>
              </w:rPr>
              <w:t xml:space="preserve"> </w:t>
            </w:r>
            <w:r w:rsidR="0087352A" w:rsidRPr="004C28E8">
              <w:rPr>
                <w:color w:val="000000" w:themeColor="text1"/>
              </w:rPr>
              <w:t>V</w:t>
            </w:r>
            <w:r w:rsidR="0087352A" w:rsidRPr="004C28E8">
              <w:rPr>
                <w:color w:val="000000" w:themeColor="text1"/>
                <w:lang w:val="lt-LT"/>
              </w:rPr>
              <w:t xml:space="preserve">ėliau kasmet </w:t>
            </w:r>
            <w:r w:rsidR="0087352A" w:rsidRPr="004C28E8">
              <w:rPr>
                <w:color w:val="000000" w:themeColor="text1"/>
              </w:rPr>
              <w:t>1 doz</w:t>
            </w:r>
            <w:r w:rsidR="0087352A" w:rsidRPr="004C28E8">
              <w:rPr>
                <w:color w:val="000000" w:themeColor="text1"/>
                <w:lang w:val="lt-LT"/>
              </w:rPr>
              <w:t>ė prieš</w:t>
            </w:r>
            <w:r w:rsidR="009D5B1A" w:rsidRPr="004C28E8">
              <w:rPr>
                <w:color w:val="000000" w:themeColor="text1"/>
              </w:rPr>
              <w:t xml:space="preserve"> gripo sezoną.</w:t>
            </w:r>
          </w:p>
        </w:tc>
      </w:tr>
      <w:tr w:rsidR="008C3617" w14:paraId="109EC07F" w14:textId="77777777">
        <w:trPr>
          <w:trHeight w:val="1244"/>
        </w:trPr>
        <w:tc>
          <w:tcPr>
            <w:tcW w:w="3686" w:type="dxa"/>
            <w:vMerge/>
          </w:tcPr>
          <w:p w14:paraId="676EA0EB" w14:textId="77777777" w:rsidR="008C3617" w:rsidRDefault="008C3617" w:rsidP="006E3C66">
            <w:pPr>
              <w:spacing w:after="0" w:line="240" w:lineRule="auto"/>
              <w:jc w:val="both"/>
              <w:rPr>
                <w:sz w:val="24"/>
                <w:szCs w:val="24"/>
                <w:vertAlign w:val="superscript"/>
              </w:rPr>
            </w:pPr>
          </w:p>
        </w:tc>
        <w:tc>
          <w:tcPr>
            <w:tcW w:w="3402" w:type="dxa"/>
          </w:tcPr>
          <w:p w14:paraId="62A4B86A" w14:textId="1D36E147" w:rsidR="008C3617" w:rsidRPr="00CE6AC9" w:rsidRDefault="009075B5" w:rsidP="006E3C66">
            <w:pPr>
              <w:spacing w:after="0" w:line="240" w:lineRule="auto"/>
              <w:jc w:val="both"/>
            </w:pPr>
            <w:r w:rsidRPr="00CE6AC9">
              <w:t xml:space="preserve">Pneumokokinė </w:t>
            </w:r>
            <w:r w:rsidR="006B12CD" w:rsidRPr="00CE6AC9">
              <w:t>vakcina</w:t>
            </w:r>
          </w:p>
        </w:tc>
        <w:tc>
          <w:tcPr>
            <w:tcW w:w="4224" w:type="dxa"/>
          </w:tcPr>
          <w:p w14:paraId="64439B03" w14:textId="0C44D278" w:rsidR="008C3617" w:rsidRPr="00CE6AC9" w:rsidRDefault="006B12CD" w:rsidP="0087352A">
            <w:pPr>
              <w:spacing w:after="0" w:line="240" w:lineRule="auto"/>
              <w:jc w:val="both"/>
            </w:pPr>
            <w:r w:rsidRPr="00CE6AC9">
              <w:rPr>
                <w:color w:val="000000"/>
              </w:rPr>
              <w:t xml:space="preserve">Rekomenduojama įskiepyti </w:t>
            </w:r>
            <w:r w:rsidR="00D02CE4" w:rsidRPr="00CE6AC9">
              <w:rPr>
                <w:color w:val="000000"/>
              </w:rPr>
              <w:t xml:space="preserve">4 </w:t>
            </w:r>
            <w:r w:rsidRPr="00CE6AC9">
              <w:rPr>
                <w:color w:val="000000"/>
              </w:rPr>
              <w:t>PCV</w:t>
            </w:r>
            <w:r w:rsidR="009075B5" w:rsidRPr="00CE6AC9">
              <w:rPr>
                <w:color w:val="000000"/>
              </w:rPr>
              <w:t>13</w:t>
            </w:r>
            <w:r w:rsidRPr="00CE6AC9">
              <w:rPr>
                <w:color w:val="000000"/>
              </w:rPr>
              <w:t xml:space="preserve"> vakcinos </w:t>
            </w:r>
            <w:r w:rsidR="00D02CE4" w:rsidRPr="00CE6AC9">
              <w:rPr>
                <w:color w:val="000000"/>
              </w:rPr>
              <w:t>doz</w:t>
            </w:r>
            <w:r w:rsidRPr="00CE6AC9">
              <w:rPr>
                <w:color w:val="000000"/>
              </w:rPr>
              <w:t>es</w:t>
            </w:r>
            <w:r w:rsidR="00D02CE4" w:rsidRPr="00CE6AC9">
              <w:rPr>
                <w:color w:val="000000"/>
              </w:rPr>
              <w:t xml:space="preserve"> praėjus ≥ </w:t>
            </w:r>
            <w:r w:rsidR="00D02CE4" w:rsidRPr="00CE6AC9">
              <w:t>3-4 mėn</w:t>
            </w:r>
            <w:r w:rsidRPr="00CE6AC9">
              <w:t>esiams</w:t>
            </w:r>
            <w:r w:rsidR="00D02CE4" w:rsidRPr="00CE6AC9">
              <w:t xml:space="preserve"> po KKLT su ≥ 2 mėn</w:t>
            </w:r>
            <w:r w:rsidRPr="00CE6AC9">
              <w:t>esių</w:t>
            </w:r>
            <w:r w:rsidR="00D02CE4" w:rsidRPr="00CE6AC9">
              <w:t xml:space="preserve"> intervalais</w:t>
            </w:r>
            <w:r w:rsidRPr="00CE6AC9">
              <w:t xml:space="preserve"> tarp </w:t>
            </w:r>
            <w:r w:rsidR="00D02CE4" w:rsidRPr="00CE6AC9">
              <w:t>1-ios ir 2-</w:t>
            </w:r>
            <w:r w:rsidR="00ED484E" w:rsidRPr="00CE6AC9">
              <w:t xml:space="preserve">os ir tarp 2-os ir 3-ios </w:t>
            </w:r>
            <w:r w:rsidRPr="00CE6AC9">
              <w:t xml:space="preserve">vakcinos </w:t>
            </w:r>
            <w:r w:rsidR="00ED484E" w:rsidRPr="00CE6AC9">
              <w:t>dozių</w:t>
            </w:r>
            <w:r w:rsidR="00D02CE4" w:rsidRPr="00CE6AC9">
              <w:t xml:space="preserve">, o tarp 3-ios ir 4-tos </w:t>
            </w:r>
            <w:r w:rsidRPr="00CE6AC9">
              <w:t xml:space="preserve">vakcinos </w:t>
            </w:r>
            <w:r w:rsidR="00D02CE4" w:rsidRPr="00CE6AC9">
              <w:t xml:space="preserve">dozių </w:t>
            </w:r>
            <w:r w:rsidRPr="00CE6AC9">
              <w:t xml:space="preserve">rekomenduojamas </w:t>
            </w:r>
            <w:r w:rsidR="00D02CE4" w:rsidRPr="00CE6AC9">
              <w:t>intervalas ≥ 6 mėn</w:t>
            </w:r>
            <w:r w:rsidRPr="00CE6AC9">
              <w:t>esiai.</w:t>
            </w:r>
          </w:p>
        </w:tc>
      </w:tr>
      <w:tr w:rsidR="008C3617" w14:paraId="53F30C67" w14:textId="77777777" w:rsidTr="00E77D2E">
        <w:tc>
          <w:tcPr>
            <w:tcW w:w="3686" w:type="dxa"/>
            <w:vMerge/>
          </w:tcPr>
          <w:p w14:paraId="354B8C06" w14:textId="77777777" w:rsidR="008C3617" w:rsidRDefault="008C3617" w:rsidP="006E3C66">
            <w:pPr>
              <w:spacing w:after="0" w:line="240" w:lineRule="auto"/>
              <w:jc w:val="both"/>
              <w:rPr>
                <w:sz w:val="24"/>
                <w:szCs w:val="24"/>
              </w:rPr>
            </w:pPr>
          </w:p>
        </w:tc>
        <w:tc>
          <w:tcPr>
            <w:tcW w:w="3402" w:type="dxa"/>
            <w:tcBorders>
              <w:bottom w:val="single" w:sz="4" w:space="0" w:color="auto"/>
            </w:tcBorders>
          </w:tcPr>
          <w:p w14:paraId="356B28F3" w14:textId="77777777" w:rsidR="004624C8" w:rsidRDefault="0087352A" w:rsidP="0087352A">
            <w:pPr>
              <w:spacing w:after="0" w:line="240" w:lineRule="auto"/>
              <w:jc w:val="both"/>
              <w:rPr>
                <w:bCs/>
                <w:color w:val="000000" w:themeColor="text1"/>
              </w:rPr>
            </w:pPr>
            <w:r w:rsidRPr="004C28E8">
              <w:rPr>
                <w:bCs/>
                <w:color w:val="000000" w:themeColor="text1"/>
              </w:rPr>
              <w:t xml:space="preserve">Td arba Tdap, HiB, </w:t>
            </w:r>
          </w:p>
          <w:p w14:paraId="2EB14F7D" w14:textId="77777777" w:rsidR="004624C8" w:rsidRDefault="00D02CE4" w:rsidP="0087352A">
            <w:pPr>
              <w:spacing w:after="0" w:line="240" w:lineRule="auto"/>
              <w:jc w:val="both"/>
              <w:rPr>
                <w:bCs/>
                <w:color w:val="000000" w:themeColor="text1"/>
              </w:rPr>
            </w:pPr>
            <w:r w:rsidRPr="004C28E8">
              <w:rPr>
                <w:bCs/>
                <w:color w:val="000000" w:themeColor="text1"/>
              </w:rPr>
              <w:t xml:space="preserve">inaktyvuota poliomielito </w:t>
            </w:r>
          </w:p>
          <w:p w14:paraId="09BB1A34" w14:textId="634347F3" w:rsidR="008C3617" w:rsidRPr="004C28E8" w:rsidRDefault="00D02CE4" w:rsidP="0087352A">
            <w:pPr>
              <w:spacing w:after="0" w:line="240" w:lineRule="auto"/>
              <w:jc w:val="both"/>
              <w:rPr>
                <w:bCs/>
                <w:color w:val="000000" w:themeColor="text1"/>
              </w:rPr>
            </w:pPr>
            <w:r w:rsidRPr="004C28E8">
              <w:rPr>
                <w:bCs/>
                <w:color w:val="000000" w:themeColor="text1"/>
              </w:rPr>
              <w:t>vakcina</w:t>
            </w:r>
          </w:p>
        </w:tc>
        <w:tc>
          <w:tcPr>
            <w:tcW w:w="4224" w:type="dxa"/>
            <w:tcBorders>
              <w:bottom w:val="single" w:sz="4" w:space="0" w:color="auto"/>
            </w:tcBorders>
          </w:tcPr>
          <w:p w14:paraId="5D834825" w14:textId="0A2236A2" w:rsidR="008A1822" w:rsidRPr="004C28E8" w:rsidRDefault="008A1822" w:rsidP="008A1822">
            <w:pPr>
              <w:spacing w:after="0" w:line="240" w:lineRule="auto"/>
              <w:rPr>
                <w:bCs/>
                <w:color w:val="000000" w:themeColor="text1"/>
                <w:lang w:val="lt-LT"/>
              </w:rPr>
            </w:pPr>
            <w:r w:rsidRPr="004C28E8">
              <w:rPr>
                <w:bCs/>
                <w:color w:val="000000" w:themeColor="text1"/>
                <w:lang w:val="lt-LT"/>
              </w:rPr>
              <w:t>Skiepijama trimis atskiromis vakcinomis</w:t>
            </w:r>
            <w:r w:rsidR="007E1127" w:rsidRPr="004C28E8">
              <w:rPr>
                <w:bCs/>
                <w:color w:val="000000" w:themeColor="text1"/>
                <w:lang w:val="lt-LT"/>
              </w:rPr>
              <w:t xml:space="preserve"> vienu metu</w:t>
            </w:r>
            <w:r w:rsidRPr="004C28E8">
              <w:rPr>
                <w:bCs/>
                <w:color w:val="000000" w:themeColor="text1"/>
                <w:lang w:val="lt-LT"/>
              </w:rPr>
              <w:t>:</w:t>
            </w:r>
            <w:r w:rsidR="007E1127" w:rsidRPr="004C28E8">
              <w:rPr>
                <w:bCs/>
                <w:color w:val="000000" w:themeColor="text1"/>
                <w:lang w:val="lt-LT"/>
              </w:rPr>
              <w:t xml:space="preserve"> </w:t>
            </w:r>
            <w:r w:rsidRPr="004C28E8">
              <w:rPr>
                <w:color w:val="000000" w:themeColor="text1"/>
                <w:lang w:val="lt-LT"/>
              </w:rPr>
              <w:t>Td arba Tdap, HiB ir IPV. Rekomenduojama įskiepyti 3 vakcinų dozes praėjus ≥ 6 mėnesiams po KKLT. Tarp 1-os ir 2-os vakcinos dozių rekomenduojamas ≥ 2 mėnesių intervalas, tarp 2-os ir 3-ios vakcinos dozių rekomenduojamas ≥ 6 mėnesių intervalas.</w:t>
            </w:r>
          </w:p>
          <w:p w14:paraId="69E8EA12" w14:textId="1B4C78D6" w:rsidR="008C3617" w:rsidRPr="00CE6AC9" w:rsidRDefault="008A1822" w:rsidP="00D97FDD">
            <w:pPr>
              <w:spacing w:after="0" w:line="240" w:lineRule="auto"/>
              <w:rPr>
                <w:bCs/>
                <w:color w:val="000000"/>
              </w:rPr>
            </w:pPr>
            <w:r w:rsidRPr="004C28E8">
              <w:rPr>
                <w:bCs/>
                <w:color w:val="000000" w:themeColor="text1"/>
              </w:rPr>
              <w:t>Jeigu yra galimybė, vietoje trijų vakcinų skiepyti viena penkiavalente DTap-HiB-IPV vakcina</w:t>
            </w:r>
            <w:r w:rsidR="00D02CE4" w:rsidRPr="004C28E8">
              <w:rPr>
                <w:bCs/>
                <w:color w:val="000000" w:themeColor="text1"/>
              </w:rPr>
              <w:t xml:space="preserve"> (vaikams </w:t>
            </w:r>
            <w:r w:rsidR="00D02CE4" w:rsidRPr="00CE6AC9">
              <w:rPr>
                <w:bCs/>
                <w:color w:val="000000"/>
              </w:rPr>
              <w:t>skirtos vakcinos naudojimui suaugusiems pacientams būtinas sveikatos priežiūros įstaigos Etikos komisijos leidimas).</w:t>
            </w:r>
            <w:r w:rsidR="00D02CE4" w:rsidRPr="00CE6AC9">
              <w:rPr>
                <w:color w:val="000000"/>
              </w:rPr>
              <w:t xml:space="preserve"> </w:t>
            </w:r>
            <w:r w:rsidR="00D97FDD">
              <w:rPr>
                <w:color w:val="000000"/>
              </w:rPr>
              <w:t xml:space="preserve">Rekomenduojama </w:t>
            </w:r>
            <w:r w:rsidR="006B12CD" w:rsidRPr="00CE6AC9">
              <w:rPr>
                <w:color w:val="000000"/>
              </w:rPr>
              <w:t xml:space="preserve">skiepyti </w:t>
            </w:r>
            <w:r w:rsidR="00D02CE4" w:rsidRPr="00CE6AC9">
              <w:rPr>
                <w:color w:val="000000"/>
              </w:rPr>
              <w:t xml:space="preserve">4 </w:t>
            </w:r>
            <w:r w:rsidR="006B12CD" w:rsidRPr="00CE6AC9">
              <w:rPr>
                <w:color w:val="000000"/>
              </w:rPr>
              <w:t xml:space="preserve">kombinuotos vakcinos </w:t>
            </w:r>
            <w:r w:rsidR="00D02CE4" w:rsidRPr="00CE6AC9">
              <w:rPr>
                <w:color w:val="000000"/>
              </w:rPr>
              <w:t>doz</w:t>
            </w:r>
            <w:r w:rsidR="006B12CD" w:rsidRPr="00CE6AC9">
              <w:rPr>
                <w:color w:val="000000"/>
              </w:rPr>
              <w:t>e</w:t>
            </w:r>
            <w:r w:rsidR="00D02CE4" w:rsidRPr="00CE6AC9">
              <w:rPr>
                <w:color w:val="000000"/>
              </w:rPr>
              <w:t>s praėjus</w:t>
            </w:r>
            <w:r w:rsidR="006B12CD" w:rsidRPr="00CE6AC9">
              <w:rPr>
                <w:color w:val="000000"/>
              </w:rPr>
              <w:t xml:space="preserve"> </w:t>
            </w:r>
            <w:r w:rsidR="00D02CE4" w:rsidRPr="00CE6AC9">
              <w:rPr>
                <w:color w:val="000000"/>
              </w:rPr>
              <w:t xml:space="preserve">≥ </w:t>
            </w:r>
            <w:r w:rsidR="006F6201" w:rsidRPr="00CE6AC9">
              <w:t>6 mėn</w:t>
            </w:r>
            <w:r w:rsidR="006B12CD" w:rsidRPr="00CE6AC9">
              <w:t>esiams</w:t>
            </w:r>
            <w:r w:rsidR="006F6201" w:rsidRPr="00CE6AC9">
              <w:t xml:space="preserve"> po KKLT. Tarp </w:t>
            </w:r>
            <w:r w:rsidR="00D97FDD">
              <w:t>1-</w:t>
            </w:r>
            <w:r w:rsidR="00D02CE4" w:rsidRPr="00CE6AC9">
              <w:t xml:space="preserve">os ir 2-os ir tarp 2-os ir 3-ios </w:t>
            </w:r>
            <w:r w:rsidR="006B12CD" w:rsidRPr="00CE6AC9">
              <w:t xml:space="preserve">vakcinos </w:t>
            </w:r>
            <w:r w:rsidR="00D02CE4" w:rsidRPr="00CE6AC9">
              <w:t xml:space="preserve">dozių </w:t>
            </w:r>
            <w:r w:rsidR="006B12CD" w:rsidRPr="00CE6AC9">
              <w:t>rekomenduojamas</w:t>
            </w:r>
            <w:r w:rsidR="006E3C66" w:rsidRPr="00CE6AC9">
              <w:t xml:space="preserve"> intervalas ≥ 2 mėnesiai</w:t>
            </w:r>
            <w:r w:rsidR="00D97FDD">
              <w:t>, o tarp 3-ios ir 4-</w:t>
            </w:r>
            <w:r w:rsidR="00D02CE4" w:rsidRPr="00CE6AC9">
              <w:t xml:space="preserve">os </w:t>
            </w:r>
            <w:r w:rsidR="006B12CD" w:rsidRPr="00CE6AC9">
              <w:t xml:space="preserve">vakcinos </w:t>
            </w:r>
            <w:r w:rsidR="00D02CE4" w:rsidRPr="00CE6AC9">
              <w:t xml:space="preserve">dozių </w:t>
            </w:r>
            <w:r w:rsidR="006B12CD" w:rsidRPr="00CE6AC9">
              <w:t xml:space="preserve">rekomenduojamas </w:t>
            </w:r>
            <w:r w:rsidR="00D02CE4" w:rsidRPr="00CE6AC9">
              <w:t>intervalas ≥ 6 mėn</w:t>
            </w:r>
            <w:r w:rsidR="006B12CD" w:rsidRPr="00CE6AC9">
              <w:t>esiai.</w:t>
            </w:r>
          </w:p>
          <w:p w14:paraId="7435EDDC" w14:textId="0FCE7E55" w:rsidR="008C3617" w:rsidRPr="00CE6AC9" w:rsidRDefault="008C3617" w:rsidP="008A1822">
            <w:pPr>
              <w:spacing w:after="0" w:line="240" w:lineRule="auto"/>
            </w:pPr>
          </w:p>
        </w:tc>
      </w:tr>
      <w:tr w:rsidR="008C3617" w14:paraId="081429A8" w14:textId="77777777">
        <w:trPr>
          <w:trHeight w:val="1040"/>
        </w:trPr>
        <w:tc>
          <w:tcPr>
            <w:tcW w:w="3686" w:type="dxa"/>
            <w:vMerge/>
          </w:tcPr>
          <w:p w14:paraId="2E2FB272" w14:textId="77777777" w:rsidR="008C3617" w:rsidRDefault="008C3617">
            <w:pPr>
              <w:spacing w:after="0" w:line="240" w:lineRule="auto"/>
              <w:rPr>
                <w:sz w:val="24"/>
                <w:szCs w:val="24"/>
              </w:rPr>
            </w:pPr>
          </w:p>
        </w:tc>
        <w:tc>
          <w:tcPr>
            <w:tcW w:w="3402" w:type="dxa"/>
          </w:tcPr>
          <w:p w14:paraId="270C9650" w14:textId="2B9B9F58" w:rsidR="00A37369" w:rsidRDefault="00AF708F" w:rsidP="00A37369">
            <w:pPr>
              <w:spacing w:after="0" w:line="240" w:lineRule="auto"/>
            </w:pPr>
            <w:r>
              <w:t>Men</w:t>
            </w:r>
            <w:r w:rsidR="00A37369">
              <w:t>B vakcina</w:t>
            </w:r>
          </w:p>
          <w:p w14:paraId="76DD8FE2" w14:textId="2905D800" w:rsidR="008C3617" w:rsidRPr="00C73125" w:rsidRDefault="00401B1B" w:rsidP="00A37369">
            <w:pPr>
              <w:spacing w:after="0" w:line="240" w:lineRule="auto"/>
              <w:rPr>
                <w:color w:val="000000" w:themeColor="text1"/>
                <w:sz w:val="24"/>
                <w:szCs w:val="24"/>
              </w:rPr>
            </w:pPr>
            <w:r w:rsidRPr="00C73125">
              <w:rPr>
                <w:color w:val="000000" w:themeColor="text1"/>
              </w:rPr>
              <w:t>MenA,C,Y,W vakcina</w:t>
            </w:r>
          </w:p>
        </w:tc>
        <w:tc>
          <w:tcPr>
            <w:tcW w:w="4224" w:type="dxa"/>
          </w:tcPr>
          <w:p w14:paraId="2CE5D474" w14:textId="7329F3CF" w:rsidR="008C3617" w:rsidRPr="00C73125" w:rsidRDefault="00A37369" w:rsidP="00AF708F">
            <w:pPr>
              <w:spacing w:after="0" w:line="240" w:lineRule="auto"/>
              <w:rPr>
                <w:bCs/>
                <w:color w:val="000000" w:themeColor="text1"/>
                <w:lang w:val="lt-LT"/>
              </w:rPr>
            </w:pPr>
            <w:r w:rsidRPr="00C73125">
              <w:rPr>
                <w:bCs/>
                <w:color w:val="000000" w:themeColor="text1"/>
                <w:lang w:val="lt-LT"/>
              </w:rPr>
              <w:t xml:space="preserve">Praėjus ≥ </w:t>
            </w:r>
            <w:r w:rsidR="00854A54" w:rsidRPr="00C73125">
              <w:rPr>
                <w:color w:val="000000" w:themeColor="text1"/>
                <w:lang w:val="lt-LT"/>
              </w:rPr>
              <w:t>6 mėnesiams</w:t>
            </w:r>
            <w:r w:rsidRPr="00C73125">
              <w:rPr>
                <w:color w:val="000000" w:themeColor="text1"/>
                <w:lang w:val="lt-LT"/>
              </w:rPr>
              <w:t xml:space="preserve"> po KKLT</w:t>
            </w:r>
            <w:r w:rsidR="001A6EBF" w:rsidRPr="00C73125">
              <w:rPr>
                <w:color w:val="000000" w:themeColor="text1"/>
                <w:lang w:val="lt-LT"/>
              </w:rPr>
              <w:t>,</w:t>
            </w:r>
            <w:r w:rsidR="001A6EBF" w:rsidRPr="00C73125">
              <w:rPr>
                <w:bCs/>
                <w:color w:val="000000" w:themeColor="text1"/>
                <w:lang w:val="lt-LT"/>
              </w:rPr>
              <w:t xml:space="preserve"> rekomenduojama </w:t>
            </w:r>
            <w:r w:rsidRPr="00C73125">
              <w:rPr>
                <w:bCs/>
                <w:color w:val="000000" w:themeColor="text1"/>
                <w:lang w:val="lt-LT"/>
              </w:rPr>
              <w:t xml:space="preserve">skiepyti </w:t>
            </w:r>
            <w:r w:rsidR="00D02CE4" w:rsidRPr="00C73125">
              <w:rPr>
                <w:bCs/>
                <w:color w:val="000000" w:themeColor="text1"/>
                <w:lang w:val="lt-LT"/>
              </w:rPr>
              <w:t>2 doz</w:t>
            </w:r>
            <w:r w:rsidRPr="00C73125">
              <w:rPr>
                <w:bCs/>
                <w:color w:val="000000" w:themeColor="text1"/>
                <w:lang w:val="lt-LT"/>
              </w:rPr>
              <w:t>e</w:t>
            </w:r>
            <w:r w:rsidR="00D02CE4" w:rsidRPr="00C73125">
              <w:rPr>
                <w:bCs/>
                <w:color w:val="000000" w:themeColor="text1"/>
                <w:lang w:val="lt-LT"/>
              </w:rPr>
              <w:t>s</w:t>
            </w:r>
            <w:r w:rsidR="00AF708F" w:rsidRPr="00C73125">
              <w:rPr>
                <w:bCs/>
                <w:color w:val="000000" w:themeColor="text1"/>
                <w:lang w:val="lt-LT"/>
              </w:rPr>
              <w:t xml:space="preserve"> MenB vakcinos</w:t>
            </w:r>
            <w:r w:rsidR="00D02CE4" w:rsidRPr="00C73125">
              <w:rPr>
                <w:bCs/>
                <w:color w:val="000000" w:themeColor="text1"/>
                <w:lang w:val="lt-LT"/>
              </w:rPr>
              <w:t xml:space="preserve"> </w:t>
            </w:r>
            <w:r w:rsidRPr="00C73125">
              <w:rPr>
                <w:bCs/>
                <w:color w:val="000000" w:themeColor="text1"/>
                <w:lang w:val="lt-LT"/>
              </w:rPr>
              <w:t xml:space="preserve">su </w:t>
            </w:r>
            <w:r w:rsidR="00AF708F" w:rsidRPr="00C73125">
              <w:rPr>
                <w:bCs/>
                <w:color w:val="000000" w:themeColor="text1"/>
                <w:lang w:val="lt-LT"/>
              </w:rPr>
              <w:t xml:space="preserve">6 mėnesių </w:t>
            </w:r>
            <w:r w:rsidRPr="00C73125">
              <w:rPr>
                <w:bCs/>
                <w:color w:val="000000" w:themeColor="text1"/>
                <w:lang w:val="lt-LT"/>
              </w:rPr>
              <w:t>intervalu tarp dozių</w:t>
            </w:r>
            <w:r w:rsidR="009717F5" w:rsidRPr="00C73125">
              <w:rPr>
                <w:bCs/>
                <w:color w:val="000000" w:themeColor="text1"/>
                <w:lang w:val="lt-LT"/>
              </w:rPr>
              <w:t xml:space="preserve"> ir </w:t>
            </w:r>
            <w:r w:rsidR="009717F5" w:rsidRPr="00C73125">
              <w:rPr>
                <w:bCs/>
                <w:color w:val="000000" w:themeColor="text1"/>
              </w:rPr>
              <w:t>1 doz</w:t>
            </w:r>
            <w:r w:rsidR="009717F5" w:rsidRPr="00C73125">
              <w:rPr>
                <w:bCs/>
                <w:color w:val="000000" w:themeColor="text1"/>
                <w:lang w:val="lt-LT"/>
              </w:rPr>
              <w:t>ę MenA,C,Y,W vakcinos.</w:t>
            </w:r>
          </w:p>
        </w:tc>
      </w:tr>
      <w:tr w:rsidR="008C3617" w14:paraId="650B6999" w14:textId="77777777">
        <w:trPr>
          <w:trHeight w:val="1912"/>
        </w:trPr>
        <w:tc>
          <w:tcPr>
            <w:tcW w:w="3686" w:type="dxa"/>
            <w:vMerge/>
          </w:tcPr>
          <w:p w14:paraId="088EB866" w14:textId="77777777" w:rsidR="008C3617" w:rsidRDefault="008C3617">
            <w:pPr>
              <w:spacing w:after="0" w:line="240" w:lineRule="auto"/>
              <w:rPr>
                <w:sz w:val="24"/>
                <w:szCs w:val="24"/>
              </w:rPr>
            </w:pPr>
          </w:p>
        </w:tc>
        <w:tc>
          <w:tcPr>
            <w:tcW w:w="3402" w:type="dxa"/>
          </w:tcPr>
          <w:p w14:paraId="6644D487" w14:textId="77777777" w:rsidR="008C3617" w:rsidRPr="0030172E" w:rsidRDefault="00D02CE4">
            <w:pPr>
              <w:spacing w:after="0" w:line="240" w:lineRule="auto"/>
            </w:pPr>
            <w:r w:rsidRPr="0030172E">
              <w:t>VHB vakcina</w:t>
            </w:r>
          </w:p>
          <w:p w14:paraId="799A3713" w14:textId="77777777" w:rsidR="008C3617" w:rsidRPr="0030172E" w:rsidRDefault="008C3617">
            <w:pPr>
              <w:spacing w:after="0" w:line="240" w:lineRule="auto"/>
            </w:pPr>
          </w:p>
        </w:tc>
        <w:tc>
          <w:tcPr>
            <w:tcW w:w="4224" w:type="dxa"/>
          </w:tcPr>
          <w:p w14:paraId="2C3FD3A8" w14:textId="2D583691" w:rsidR="008C3617" w:rsidRPr="0030172E" w:rsidRDefault="00A37369" w:rsidP="00E5302F">
            <w:pPr>
              <w:spacing w:after="0" w:line="240" w:lineRule="auto"/>
            </w:pPr>
            <w:r w:rsidRPr="0030172E">
              <w:rPr>
                <w:color w:val="000000"/>
              </w:rPr>
              <w:t xml:space="preserve">Praėjus </w:t>
            </w:r>
            <w:r w:rsidRPr="0030172E">
              <w:t>po KKLT</w:t>
            </w:r>
            <w:r w:rsidRPr="0030172E">
              <w:rPr>
                <w:color w:val="000000"/>
              </w:rPr>
              <w:t xml:space="preserve"> ≥ </w:t>
            </w:r>
            <w:r w:rsidRPr="0030172E">
              <w:t>6 mėnesiams</w:t>
            </w:r>
            <w:r w:rsidR="00E5302F">
              <w:t xml:space="preserve">, rekomenduojama </w:t>
            </w:r>
            <w:r w:rsidRPr="0030172E">
              <w:t xml:space="preserve">skiepyti </w:t>
            </w:r>
            <w:r w:rsidR="00D02CE4" w:rsidRPr="0030172E">
              <w:rPr>
                <w:color w:val="000000"/>
              </w:rPr>
              <w:t xml:space="preserve">3 </w:t>
            </w:r>
            <w:r w:rsidRPr="0030172E">
              <w:rPr>
                <w:color w:val="000000"/>
              </w:rPr>
              <w:t xml:space="preserve">hepatito B vakcinos </w:t>
            </w:r>
            <w:r w:rsidR="00D02CE4" w:rsidRPr="0030172E">
              <w:rPr>
                <w:color w:val="000000"/>
              </w:rPr>
              <w:t>doz</w:t>
            </w:r>
            <w:r w:rsidRPr="0030172E">
              <w:rPr>
                <w:color w:val="000000"/>
              </w:rPr>
              <w:t>e</w:t>
            </w:r>
            <w:r w:rsidR="00D02CE4" w:rsidRPr="0030172E">
              <w:rPr>
                <w:color w:val="000000"/>
              </w:rPr>
              <w:t>s</w:t>
            </w:r>
            <w:r w:rsidR="00C443FC" w:rsidRPr="00C443FC">
              <w:t xml:space="preserve"> </w:t>
            </w:r>
            <w:r w:rsidR="00C443FC" w:rsidRPr="00C443FC">
              <w:rPr>
                <w:color w:val="000000"/>
              </w:rPr>
              <w:t>po 20 µg</w:t>
            </w:r>
            <w:r w:rsidR="00E5302F">
              <w:t xml:space="preserve"> </w:t>
            </w:r>
            <w:r w:rsidRPr="0030172E">
              <w:t>pagal schemą: 0, 1 ir 6 mėnesiai.</w:t>
            </w:r>
          </w:p>
          <w:p w14:paraId="27A7A255" w14:textId="5D968884" w:rsidR="008C3617" w:rsidRPr="00C73125" w:rsidRDefault="00D02CE4" w:rsidP="007E1127">
            <w:pPr>
              <w:spacing w:after="0" w:line="240" w:lineRule="auto"/>
              <w:rPr>
                <w:color w:val="000000" w:themeColor="text1"/>
              </w:rPr>
            </w:pPr>
            <w:r w:rsidRPr="00C73125">
              <w:rPr>
                <w:color w:val="000000" w:themeColor="text1"/>
              </w:rPr>
              <w:t>Jeigu</w:t>
            </w:r>
            <w:r w:rsidR="00E5302F" w:rsidRPr="00C73125">
              <w:rPr>
                <w:color w:val="000000" w:themeColor="text1"/>
              </w:rPr>
              <w:t>,</w:t>
            </w:r>
            <w:r w:rsidRPr="00C73125">
              <w:rPr>
                <w:color w:val="000000" w:themeColor="text1"/>
              </w:rPr>
              <w:t xml:space="preserve"> praėjus </w:t>
            </w:r>
            <w:r w:rsidR="001E047C" w:rsidRPr="00C73125">
              <w:rPr>
                <w:color w:val="000000" w:themeColor="text1"/>
                <w:u w:val="single"/>
              </w:rPr>
              <w:t>&gt;</w:t>
            </w:r>
            <w:r w:rsidR="001E047C" w:rsidRPr="00C73125">
              <w:rPr>
                <w:color w:val="000000" w:themeColor="text1"/>
              </w:rPr>
              <w:t>1 m</w:t>
            </w:r>
            <w:r w:rsidR="001E047C" w:rsidRPr="00C73125">
              <w:rPr>
                <w:color w:val="000000" w:themeColor="text1"/>
                <w:lang w:val="lt-LT"/>
              </w:rPr>
              <w:t>ėn. po trečiosios hepatito B vakcinos dozės</w:t>
            </w:r>
            <w:r w:rsidRPr="00C73125">
              <w:rPr>
                <w:color w:val="000000" w:themeColor="text1"/>
              </w:rPr>
              <w:t xml:space="preserve"> anti-HBs </w:t>
            </w:r>
            <w:r w:rsidR="001E047C" w:rsidRPr="00C73125">
              <w:rPr>
                <w:color w:val="000000" w:themeColor="text1"/>
              </w:rPr>
              <w:t xml:space="preserve">yra neigiami, </w:t>
            </w:r>
            <w:r w:rsidR="007E1127" w:rsidRPr="00C73125">
              <w:rPr>
                <w:color w:val="000000" w:themeColor="text1"/>
              </w:rPr>
              <w:t>rekomenduojama skiepyti iš naujo 3 VHB vakcinos doz</w:t>
            </w:r>
            <w:r w:rsidR="007E1127" w:rsidRPr="00C73125">
              <w:rPr>
                <w:color w:val="000000" w:themeColor="text1"/>
                <w:lang w:val="lt-LT"/>
              </w:rPr>
              <w:t>ėmis</w:t>
            </w:r>
            <w:r w:rsidR="00D9487B" w:rsidRPr="00C73125">
              <w:rPr>
                <w:color w:val="000000" w:themeColor="text1"/>
              </w:rPr>
              <w:t>.</w:t>
            </w:r>
          </w:p>
        </w:tc>
      </w:tr>
      <w:tr w:rsidR="008C3617" w14:paraId="4A4A1388" w14:textId="77777777" w:rsidTr="00C73125">
        <w:trPr>
          <w:trHeight w:val="641"/>
        </w:trPr>
        <w:tc>
          <w:tcPr>
            <w:tcW w:w="3686" w:type="dxa"/>
            <w:vMerge/>
          </w:tcPr>
          <w:p w14:paraId="01DF00CE" w14:textId="77777777" w:rsidR="008C3617" w:rsidRDefault="008C3617">
            <w:pPr>
              <w:spacing w:after="0" w:line="240" w:lineRule="auto"/>
              <w:rPr>
                <w:sz w:val="24"/>
                <w:szCs w:val="24"/>
              </w:rPr>
            </w:pPr>
          </w:p>
        </w:tc>
        <w:tc>
          <w:tcPr>
            <w:tcW w:w="3402" w:type="dxa"/>
          </w:tcPr>
          <w:p w14:paraId="632E99BA" w14:textId="77777777" w:rsidR="008C3617" w:rsidRPr="0030172E" w:rsidRDefault="00D02CE4">
            <w:pPr>
              <w:spacing w:after="0" w:line="240" w:lineRule="auto"/>
            </w:pPr>
            <w:r w:rsidRPr="0030172E">
              <w:t>Tymų, epideminio parotito, raudonukės vakcina</w:t>
            </w:r>
          </w:p>
        </w:tc>
        <w:tc>
          <w:tcPr>
            <w:tcW w:w="4224" w:type="dxa"/>
          </w:tcPr>
          <w:p w14:paraId="765587DD" w14:textId="04E92EF0" w:rsidR="008C3617" w:rsidRPr="0030172E" w:rsidRDefault="00D02CE4" w:rsidP="00B04F6C">
            <w:pPr>
              <w:spacing w:after="0" w:line="240" w:lineRule="auto"/>
              <w:jc w:val="both"/>
            </w:pPr>
            <w:r w:rsidRPr="0030172E">
              <w:t>1 dozė praėjus ≥</w:t>
            </w:r>
            <w:r w:rsidR="00DC2D39" w:rsidRPr="0030172E">
              <w:t xml:space="preserve"> </w:t>
            </w:r>
            <w:r w:rsidRPr="0030172E">
              <w:t>24 mėn</w:t>
            </w:r>
            <w:r w:rsidR="00DC2D39" w:rsidRPr="0030172E">
              <w:t>esiams</w:t>
            </w:r>
            <w:r w:rsidRPr="0030172E">
              <w:t xml:space="preserve"> po KKLT</w:t>
            </w:r>
            <w:r w:rsidR="00C576DD" w:rsidRPr="0030172E">
              <w:t>, jei imunosupresinis gydymas yra nutrauktas ir nėra TPŠL</w:t>
            </w:r>
            <w:r w:rsidRPr="0030172E">
              <w:t>.</w:t>
            </w:r>
            <w:r w:rsidR="000F0C4D">
              <w:t>ą</w:t>
            </w:r>
          </w:p>
        </w:tc>
      </w:tr>
      <w:tr w:rsidR="008C3617" w:rsidRPr="00CE6AC9" w14:paraId="219AB056" w14:textId="77777777" w:rsidTr="00C73125">
        <w:trPr>
          <w:trHeight w:val="441"/>
        </w:trPr>
        <w:tc>
          <w:tcPr>
            <w:tcW w:w="3686" w:type="dxa"/>
            <w:vMerge/>
          </w:tcPr>
          <w:p w14:paraId="258BBD80" w14:textId="77777777" w:rsidR="008C3617" w:rsidRDefault="008C3617">
            <w:pPr>
              <w:spacing w:after="0" w:line="240" w:lineRule="auto"/>
              <w:rPr>
                <w:sz w:val="24"/>
                <w:szCs w:val="24"/>
              </w:rPr>
            </w:pPr>
          </w:p>
        </w:tc>
        <w:tc>
          <w:tcPr>
            <w:tcW w:w="3402" w:type="dxa"/>
          </w:tcPr>
          <w:p w14:paraId="7CF1AB1E" w14:textId="77777777" w:rsidR="008C3617" w:rsidRPr="0030172E" w:rsidRDefault="00D02CE4">
            <w:pPr>
              <w:spacing w:after="0" w:line="240" w:lineRule="auto"/>
            </w:pPr>
            <w:r w:rsidRPr="0030172E">
              <w:t>Erkinio encefalito vakcina</w:t>
            </w:r>
          </w:p>
        </w:tc>
        <w:tc>
          <w:tcPr>
            <w:tcW w:w="4224" w:type="dxa"/>
          </w:tcPr>
          <w:p w14:paraId="5E3E9303" w14:textId="5100936C" w:rsidR="00C576DD" w:rsidRPr="00CE6AC9" w:rsidRDefault="00D02CE4" w:rsidP="00CE6AC9">
            <w:pPr>
              <w:spacing w:after="0" w:line="240" w:lineRule="auto"/>
              <w:rPr>
                <w:color w:val="000000"/>
              </w:rPr>
            </w:pPr>
            <w:r w:rsidRPr="00CE6AC9">
              <w:rPr>
                <w:color w:val="000000"/>
              </w:rPr>
              <w:t xml:space="preserve">3 </w:t>
            </w:r>
            <w:r w:rsidR="00903FD0" w:rsidRPr="00CE6AC9">
              <w:rPr>
                <w:color w:val="000000"/>
              </w:rPr>
              <w:t xml:space="preserve">vakcinos </w:t>
            </w:r>
            <w:r w:rsidR="00422FF5">
              <w:rPr>
                <w:color w:val="000000"/>
              </w:rPr>
              <w:t xml:space="preserve">dozės praėjus </w:t>
            </w:r>
            <w:r w:rsidR="00422FF5" w:rsidRPr="0004367C">
              <w:rPr>
                <w:color w:val="000000" w:themeColor="text1"/>
              </w:rPr>
              <w:t>1 metams</w:t>
            </w:r>
            <w:r w:rsidR="0054032F" w:rsidRPr="00CE6AC9">
              <w:rPr>
                <w:color w:val="000000"/>
              </w:rPr>
              <w:t xml:space="preserve"> po KKLT: </w:t>
            </w:r>
            <w:r w:rsidR="00E536B2" w:rsidRPr="00CE6AC9">
              <w:t>tarp 1-os ir 2-</w:t>
            </w:r>
            <w:r w:rsidR="0054032F" w:rsidRPr="00CE6AC9">
              <w:t xml:space="preserve">os vakcinos dozių rekomenduojamas </w:t>
            </w:r>
            <w:r w:rsidR="00E536B2" w:rsidRPr="00CE6AC9">
              <w:t>1-3 mėnesių intervalas, tarp 2-</w:t>
            </w:r>
            <w:r w:rsidR="0054032F" w:rsidRPr="00CE6AC9">
              <w:t>os ir 3-ios vakcinos dozių rekomenduojamas</w:t>
            </w:r>
            <w:r w:rsidR="00CE6AC9">
              <w:t xml:space="preserve"> 5-12 arba </w:t>
            </w:r>
            <w:r w:rsidR="00CE6AC9" w:rsidRPr="007A76BB">
              <w:t xml:space="preserve">9-12 </w:t>
            </w:r>
            <w:r w:rsidR="00CE6AC9">
              <w:t>(priklausomai nuo vakcinos gamintojo)</w:t>
            </w:r>
            <w:r w:rsidR="0054032F" w:rsidRPr="00CE6AC9">
              <w:t xml:space="preserve"> mėnesių intervalas.</w:t>
            </w:r>
            <w:r w:rsidR="0054032F" w:rsidRPr="00CE6AC9">
              <w:rPr>
                <w:color w:val="000000"/>
              </w:rPr>
              <w:t xml:space="preserve"> Revakcinacija kas 3 metai.</w:t>
            </w:r>
          </w:p>
        </w:tc>
      </w:tr>
    </w:tbl>
    <w:p w14:paraId="466B8957" w14:textId="77777777" w:rsidR="008C3617" w:rsidRDefault="008C3617">
      <w:pPr>
        <w:jc w:val="both"/>
      </w:pPr>
    </w:p>
    <w:p w14:paraId="1A34E6CA" w14:textId="7A8696AA" w:rsidR="00903FD0" w:rsidRPr="00A52D8F" w:rsidRDefault="00903FD0">
      <w:pPr>
        <w:jc w:val="both"/>
        <w:rPr>
          <w:b/>
          <w:bCs/>
          <w:color w:val="000000"/>
        </w:rPr>
      </w:pPr>
      <w:r w:rsidRPr="00A52D8F">
        <w:rPr>
          <w:b/>
          <w:bCs/>
          <w:color w:val="000000"/>
        </w:rPr>
        <w:t>Pastabos:</w:t>
      </w:r>
    </w:p>
    <w:p w14:paraId="2680ADFE" w14:textId="58BAC345" w:rsidR="008C3617" w:rsidRPr="00C26807" w:rsidRDefault="00D02CE4">
      <w:pPr>
        <w:jc w:val="both"/>
        <w:rPr>
          <w:bCs/>
          <w:color w:val="000000" w:themeColor="text1"/>
          <w:lang w:val="lt-LT"/>
        </w:rPr>
      </w:pPr>
      <w:r w:rsidRPr="00EA20F6">
        <w:rPr>
          <w:bCs/>
          <w:color w:val="000000"/>
          <w:lang w:val="lt-LT"/>
        </w:rPr>
        <w:t xml:space="preserve">Pacientai, sergantys lėtine transplantato prieš šeimininką liga (TPŠL), turėtų būti skiepijami pagal </w:t>
      </w:r>
      <w:r w:rsidR="00A37369" w:rsidRPr="00EA20F6">
        <w:rPr>
          <w:bCs/>
          <w:color w:val="000000"/>
          <w:lang w:val="lt-LT"/>
        </w:rPr>
        <w:t xml:space="preserve">įprastą skiepijimo </w:t>
      </w:r>
      <w:r w:rsidRPr="00EA20F6">
        <w:rPr>
          <w:bCs/>
          <w:color w:val="000000"/>
          <w:lang w:val="lt-LT"/>
        </w:rPr>
        <w:t>sche</w:t>
      </w:r>
      <w:r w:rsidR="00D05211" w:rsidRPr="00EA20F6">
        <w:rPr>
          <w:bCs/>
          <w:color w:val="000000"/>
          <w:lang w:val="lt-LT"/>
        </w:rPr>
        <w:t xml:space="preserve">mą. </w:t>
      </w:r>
      <w:r w:rsidR="00D05211" w:rsidRPr="00C26807">
        <w:rPr>
          <w:bCs/>
          <w:color w:val="000000" w:themeColor="text1"/>
          <w:lang w:val="lt-LT"/>
        </w:rPr>
        <w:t>Jeigu sergantys TPŠL gydomi</w:t>
      </w:r>
      <w:r w:rsidRPr="00C26807">
        <w:rPr>
          <w:bCs/>
          <w:color w:val="000000" w:themeColor="text1"/>
          <w:lang w:val="lt-LT"/>
        </w:rPr>
        <w:t xml:space="preserve"> trijų ar daugiau im</w:t>
      </w:r>
      <w:r w:rsidR="00D05211" w:rsidRPr="00C26807">
        <w:rPr>
          <w:bCs/>
          <w:color w:val="000000" w:themeColor="text1"/>
          <w:lang w:val="lt-LT"/>
        </w:rPr>
        <w:t>unosupresinių vaistų deriniu</w:t>
      </w:r>
      <w:r w:rsidRPr="00C26807">
        <w:rPr>
          <w:bCs/>
          <w:color w:val="000000" w:themeColor="text1"/>
          <w:lang w:val="lt-LT"/>
        </w:rPr>
        <w:t xml:space="preserve"> arba &gt;</w:t>
      </w:r>
      <w:r w:rsidR="00A37369" w:rsidRPr="00C26807">
        <w:rPr>
          <w:bCs/>
          <w:color w:val="000000" w:themeColor="text1"/>
          <w:lang w:val="lt-LT"/>
        </w:rPr>
        <w:t xml:space="preserve"> </w:t>
      </w:r>
      <w:r w:rsidR="00B976C2" w:rsidRPr="00C26807">
        <w:rPr>
          <w:bCs/>
          <w:color w:val="000000" w:themeColor="text1"/>
          <w:lang w:val="lt-LT"/>
        </w:rPr>
        <w:t>0.5 mg/kg prednizolono (kaip sudėtinio gydymo dalimi</w:t>
      </w:r>
      <w:r w:rsidRPr="00C26807">
        <w:rPr>
          <w:bCs/>
          <w:color w:val="000000" w:themeColor="text1"/>
          <w:lang w:val="lt-LT"/>
        </w:rPr>
        <w:t xml:space="preserve">), vakcinacija turėtų būti atidedama, kol gydymas bus </w:t>
      </w:r>
      <w:r w:rsidR="00B976C2" w:rsidRPr="00C26807">
        <w:rPr>
          <w:bCs/>
          <w:color w:val="000000" w:themeColor="text1"/>
          <w:lang w:val="lt-LT"/>
        </w:rPr>
        <w:t>sumažintas iki</w:t>
      </w:r>
      <w:r w:rsidRPr="00C26807">
        <w:rPr>
          <w:bCs/>
          <w:color w:val="000000" w:themeColor="text1"/>
          <w:lang w:val="lt-LT"/>
        </w:rPr>
        <w:t xml:space="preserve"> dviejų vaistų </w:t>
      </w:r>
      <w:r w:rsidR="00B976C2" w:rsidRPr="00C26807">
        <w:rPr>
          <w:bCs/>
          <w:color w:val="000000" w:themeColor="text1"/>
          <w:lang w:val="lt-LT"/>
        </w:rPr>
        <w:t>derinio</w:t>
      </w:r>
      <w:r w:rsidRPr="00C26807">
        <w:rPr>
          <w:bCs/>
          <w:color w:val="000000" w:themeColor="text1"/>
          <w:lang w:val="lt-LT"/>
        </w:rPr>
        <w:t xml:space="preserve"> arba &lt;</w:t>
      </w:r>
      <w:r w:rsidR="00A37369" w:rsidRPr="00C26807">
        <w:rPr>
          <w:bCs/>
          <w:color w:val="000000" w:themeColor="text1"/>
          <w:lang w:val="lt-LT"/>
        </w:rPr>
        <w:t xml:space="preserve"> </w:t>
      </w:r>
      <w:r w:rsidRPr="00C26807">
        <w:rPr>
          <w:bCs/>
          <w:color w:val="000000" w:themeColor="text1"/>
          <w:lang w:val="lt-LT"/>
        </w:rPr>
        <w:t xml:space="preserve">0.5 mg/kg prednizolono, bet ne daugiau </w:t>
      </w:r>
      <w:r w:rsidR="00D05211" w:rsidRPr="00C26807">
        <w:rPr>
          <w:bCs/>
          <w:color w:val="000000" w:themeColor="text1"/>
          <w:lang w:val="lt-LT"/>
        </w:rPr>
        <w:t>tri</w:t>
      </w:r>
      <w:r w:rsidR="00B976C2" w:rsidRPr="00C26807">
        <w:rPr>
          <w:bCs/>
          <w:color w:val="000000" w:themeColor="text1"/>
          <w:lang w:val="lt-LT"/>
        </w:rPr>
        <w:t>jų mėnesių.</w:t>
      </w:r>
    </w:p>
    <w:p w14:paraId="5EBA6177" w14:textId="09A1881C" w:rsidR="00C576DD" w:rsidRPr="00C26807" w:rsidRDefault="00C576DD">
      <w:pPr>
        <w:jc w:val="both"/>
        <w:rPr>
          <w:bCs/>
          <w:color w:val="000000" w:themeColor="text1"/>
          <w:lang w:val="lt-LT"/>
        </w:rPr>
      </w:pPr>
      <w:r w:rsidRPr="00C26807">
        <w:rPr>
          <w:bCs/>
          <w:color w:val="000000" w:themeColor="text1"/>
          <w:lang w:val="lt-LT"/>
        </w:rPr>
        <w:t>Pacient</w:t>
      </w:r>
      <w:r w:rsidR="00B976C2" w:rsidRPr="00C26807">
        <w:rPr>
          <w:bCs/>
          <w:color w:val="000000" w:themeColor="text1"/>
          <w:lang w:val="lt-LT"/>
        </w:rPr>
        <w:t>ai</w:t>
      </w:r>
      <w:r w:rsidRPr="00C26807">
        <w:rPr>
          <w:bCs/>
          <w:color w:val="000000" w:themeColor="text1"/>
          <w:lang w:val="lt-LT"/>
        </w:rPr>
        <w:t>, gydom</w:t>
      </w:r>
      <w:r w:rsidR="00B976C2" w:rsidRPr="00C26807">
        <w:rPr>
          <w:bCs/>
          <w:color w:val="000000" w:themeColor="text1"/>
          <w:lang w:val="lt-LT"/>
        </w:rPr>
        <w:t>i</w:t>
      </w:r>
      <w:r w:rsidRPr="00C26807">
        <w:rPr>
          <w:bCs/>
          <w:color w:val="000000" w:themeColor="text1"/>
          <w:lang w:val="lt-LT"/>
        </w:rPr>
        <w:t xml:space="preserve"> Rituksimabu, </w:t>
      </w:r>
      <w:r w:rsidR="00B976C2" w:rsidRPr="00C26807">
        <w:rPr>
          <w:bCs/>
          <w:color w:val="000000" w:themeColor="text1"/>
          <w:lang w:val="lt-LT"/>
        </w:rPr>
        <w:t>turėtų būti pradedami skiepyti</w:t>
      </w:r>
      <w:r w:rsidR="00EA20F6" w:rsidRPr="00C26807">
        <w:rPr>
          <w:bCs/>
          <w:color w:val="000000" w:themeColor="text1"/>
          <w:lang w:val="lt-LT"/>
        </w:rPr>
        <w:t xml:space="preserve"> </w:t>
      </w:r>
      <w:r w:rsidR="004F040E" w:rsidRPr="00C26807">
        <w:rPr>
          <w:bCs/>
          <w:color w:val="000000" w:themeColor="text1"/>
          <w:lang w:val="lt-LT"/>
        </w:rPr>
        <w:t xml:space="preserve">praėjus 6 mėnesiams </w:t>
      </w:r>
      <w:r w:rsidRPr="00C26807">
        <w:rPr>
          <w:bCs/>
          <w:color w:val="000000" w:themeColor="text1"/>
          <w:lang w:val="lt-LT"/>
        </w:rPr>
        <w:t xml:space="preserve">po paskutinės minėto </w:t>
      </w:r>
      <w:r w:rsidR="00EA20F6" w:rsidRPr="00C26807">
        <w:rPr>
          <w:bCs/>
          <w:color w:val="000000" w:themeColor="text1"/>
          <w:lang w:val="lt-LT"/>
        </w:rPr>
        <w:t>vaisto</w:t>
      </w:r>
      <w:r w:rsidRPr="00C26807">
        <w:rPr>
          <w:bCs/>
          <w:color w:val="000000" w:themeColor="text1"/>
          <w:lang w:val="lt-LT"/>
        </w:rPr>
        <w:t xml:space="preserve"> dozės suvartojimo.</w:t>
      </w:r>
    </w:p>
    <w:p w14:paraId="12AD8DEC" w14:textId="50F0AEE6" w:rsidR="00FE198A" w:rsidRPr="003D0D9B" w:rsidRDefault="00D02CE4">
      <w:pPr>
        <w:jc w:val="both"/>
      </w:pPr>
      <w:r w:rsidRPr="00C26807">
        <w:rPr>
          <w:color w:val="000000" w:themeColor="text1"/>
          <w:lang w:val="lt-LT"/>
        </w:rPr>
        <w:t>Nerekomenduojam</w:t>
      </w:r>
      <w:r w:rsidR="00A37369" w:rsidRPr="00C26807">
        <w:rPr>
          <w:color w:val="000000" w:themeColor="text1"/>
          <w:lang w:val="lt-LT"/>
        </w:rPr>
        <w:t xml:space="preserve">a skiepyti </w:t>
      </w:r>
      <w:r w:rsidRPr="00C26807">
        <w:rPr>
          <w:color w:val="000000" w:themeColor="text1"/>
          <w:lang w:val="lt-LT"/>
        </w:rPr>
        <w:t>vakcino</w:t>
      </w:r>
      <w:r w:rsidR="00A37369" w:rsidRPr="00C26807">
        <w:rPr>
          <w:color w:val="000000" w:themeColor="text1"/>
          <w:lang w:val="lt-LT"/>
        </w:rPr>
        <w:t>mis</w:t>
      </w:r>
      <w:r w:rsidRPr="00C26807">
        <w:rPr>
          <w:color w:val="000000" w:themeColor="text1"/>
          <w:lang w:val="lt-LT"/>
        </w:rPr>
        <w:t xml:space="preserve">: </w:t>
      </w:r>
      <w:r w:rsidR="00EA20F6" w:rsidRPr="00C26807">
        <w:rPr>
          <w:color w:val="000000" w:themeColor="text1"/>
          <w:lang w:val="lt-LT"/>
        </w:rPr>
        <w:t>BCG (tuberkuliozės)</w:t>
      </w:r>
      <w:r w:rsidRPr="00C26807">
        <w:rPr>
          <w:color w:val="000000" w:themeColor="text1"/>
          <w:lang w:val="lt-LT"/>
        </w:rPr>
        <w:t xml:space="preserve">, rotaviruso, </w:t>
      </w:r>
      <w:r w:rsidRPr="00C26807">
        <w:rPr>
          <w:i/>
          <w:color w:val="000000" w:themeColor="text1"/>
          <w:lang w:val="lt-LT"/>
        </w:rPr>
        <w:t>Herpes zoster</w:t>
      </w:r>
      <w:r w:rsidR="00EA20F6" w:rsidRPr="009A545A">
        <w:rPr>
          <w:color w:val="000000" w:themeColor="text1"/>
          <w:lang w:val="lt-LT"/>
        </w:rPr>
        <w:t>.</w:t>
      </w:r>
    </w:p>
    <w:p w14:paraId="1B2DE8E4" w14:textId="77777777" w:rsidR="0077579E" w:rsidRDefault="0077579E">
      <w:pPr>
        <w:spacing w:after="120"/>
        <w:rPr>
          <w:b/>
        </w:rPr>
      </w:pPr>
    </w:p>
    <w:p w14:paraId="549D944A" w14:textId="77777777" w:rsidR="008C3617" w:rsidRPr="00A52D8F" w:rsidRDefault="00D02CE4">
      <w:pPr>
        <w:spacing w:after="120"/>
        <w:rPr>
          <w:b/>
        </w:rPr>
      </w:pPr>
      <w:r w:rsidRPr="00A52D8F">
        <w:rPr>
          <w:b/>
        </w:rPr>
        <w:t>Paaiškinimai:</w:t>
      </w:r>
    </w:p>
    <w:p w14:paraId="3C4EC4D5" w14:textId="0FA7BA22" w:rsidR="008C3617" w:rsidRPr="003D0D9B" w:rsidRDefault="00D02CE4">
      <w:pPr>
        <w:spacing w:after="120"/>
      </w:pPr>
      <w:r w:rsidRPr="003D0D9B">
        <w:t>KKLT - kraujodaros kamieninių ląstelių transplantacija</w:t>
      </w:r>
    </w:p>
    <w:p w14:paraId="3DD9C1D5" w14:textId="2B1EFC1B" w:rsidR="00C576DD" w:rsidRPr="003D0D9B" w:rsidRDefault="00C576DD">
      <w:pPr>
        <w:spacing w:after="120"/>
      </w:pPr>
      <w:r w:rsidRPr="003D0D9B">
        <w:t>TPŠL – transplantato prieš šeiminiką liga</w:t>
      </w:r>
    </w:p>
    <w:p w14:paraId="34E1F313" w14:textId="50EC6E3F" w:rsidR="008C3617" w:rsidRPr="003D0D9B" w:rsidRDefault="00D02CE4">
      <w:pPr>
        <w:spacing w:after="120"/>
      </w:pPr>
      <w:r w:rsidRPr="003D0D9B">
        <w:t>PCV13 – pneumokokinė polisacharidinė konjuguota 13-valentė vakcina</w:t>
      </w:r>
    </w:p>
    <w:p w14:paraId="5B36F59E" w14:textId="2DC70C35" w:rsidR="008C3617" w:rsidRPr="00A70834" w:rsidRDefault="00D02CE4">
      <w:pPr>
        <w:spacing w:after="120"/>
        <w:rPr>
          <w:color w:val="000000" w:themeColor="text1"/>
        </w:rPr>
      </w:pPr>
      <w:r w:rsidRPr="00A70834">
        <w:rPr>
          <w:bCs/>
          <w:color w:val="000000" w:themeColor="text1"/>
        </w:rPr>
        <w:t xml:space="preserve">DTaP-HiB-IPV </w:t>
      </w:r>
      <w:r w:rsidRPr="00A70834">
        <w:rPr>
          <w:color w:val="000000" w:themeColor="text1"/>
        </w:rPr>
        <w:t>–</w:t>
      </w:r>
      <w:r w:rsidRPr="00A70834">
        <w:rPr>
          <w:bCs/>
          <w:color w:val="000000" w:themeColor="text1"/>
        </w:rPr>
        <w:t xml:space="preserve"> </w:t>
      </w:r>
      <w:r w:rsidR="00EA20F6" w:rsidRPr="00A70834">
        <w:rPr>
          <w:bCs/>
          <w:color w:val="000000" w:themeColor="text1"/>
        </w:rPr>
        <w:t xml:space="preserve">penkiavalentė </w:t>
      </w:r>
      <w:r w:rsidRPr="00A70834">
        <w:rPr>
          <w:bCs/>
          <w:color w:val="000000" w:themeColor="text1"/>
        </w:rPr>
        <w:t>difterijos, stabligės, kokliušo-</w:t>
      </w:r>
      <w:r w:rsidRPr="00A70834">
        <w:rPr>
          <w:bCs/>
          <w:i/>
          <w:color w:val="000000" w:themeColor="text1"/>
        </w:rPr>
        <w:t>Haemophilus influenzae</w:t>
      </w:r>
      <w:r w:rsidRPr="00A70834">
        <w:rPr>
          <w:bCs/>
          <w:color w:val="000000" w:themeColor="text1"/>
        </w:rPr>
        <w:t xml:space="preserve"> B-inaktyvuota poliomielito vakcina</w:t>
      </w:r>
    </w:p>
    <w:p w14:paraId="6679A6CE" w14:textId="2A850234" w:rsidR="008C3617" w:rsidRPr="003D0D9B" w:rsidRDefault="00D02CE4">
      <w:pPr>
        <w:spacing w:after="120"/>
      </w:pPr>
      <w:r w:rsidRPr="003D0D9B">
        <w:t>Td – difterijos, stabligės toksoidų vakcina</w:t>
      </w:r>
    </w:p>
    <w:p w14:paraId="64012911" w14:textId="6BBF5E19" w:rsidR="008C3617" w:rsidRPr="00965FEE" w:rsidRDefault="00D02CE4">
      <w:pPr>
        <w:spacing w:after="120"/>
      </w:pPr>
      <w:r w:rsidRPr="003D0D9B">
        <w:t xml:space="preserve">Tdap - difterijos, stabligės toksoidų ir </w:t>
      </w:r>
      <w:r w:rsidR="00DC2D39" w:rsidRPr="003D0D9B">
        <w:t xml:space="preserve">neląstelinio </w:t>
      </w:r>
      <w:r w:rsidRPr="003D0D9B">
        <w:t>kokliušo vakcina</w:t>
      </w:r>
    </w:p>
    <w:p w14:paraId="42473F64" w14:textId="271F3E86" w:rsidR="0087352A" w:rsidRPr="00A70834" w:rsidRDefault="0087352A">
      <w:pPr>
        <w:spacing w:after="120"/>
        <w:rPr>
          <w:color w:val="000000" w:themeColor="text1"/>
        </w:rPr>
      </w:pPr>
      <w:r w:rsidRPr="00A70834">
        <w:rPr>
          <w:color w:val="000000" w:themeColor="text1"/>
        </w:rPr>
        <w:t xml:space="preserve">HiB – </w:t>
      </w:r>
      <w:r w:rsidRPr="00A70834">
        <w:rPr>
          <w:i/>
          <w:color w:val="000000" w:themeColor="text1"/>
        </w:rPr>
        <w:t>Haemophilus influenza B</w:t>
      </w:r>
      <w:r w:rsidRPr="00A70834">
        <w:rPr>
          <w:color w:val="000000" w:themeColor="text1"/>
        </w:rPr>
        <w:t xml:space="preserve"> vakcina</w:t>
      </w:r>
    </w:p>
    <w:p w14:paraId="1B915129" w14:textId="6B853190" w:rsidR="008C3617" w:rsidRPr="00A70834" w:rsidRDefault="00D02CE4">
      <w:pPr>
        <w:spacing w:after="120"/>
        <w:rPr>
          <w:color w:val="000000" w:themeColor="text1"/>
        </w:rPr>
      </w:pPr>
      <w:r w:rsidRPr="00A70834">
        <w:rPr>
          <w:color w:val="000000" w:themeColor="text1"/>
        </w:rPr>
        <w:t>MenB – meningokok</w:t>
      </w:r>
      <w:r w:rsidR="00EA20F6" w:rsidRPr="00A70834">
        <w:rPr>
          <w:color w:val="000000" w:themeColor="text1"/>
        </w:rPr>
        <w:t>ų B grupės vakcina</w:t>
      </w:r>
      <w:r w:rsidRPr="00A70834">
        <w:rPr>
          <w:color w:val="000000" w:themeColor="text1"/>
        </w:rPr>
        <w:t xml:space="preserve"> </w:t>
      </w:r>
    </w:p>
    <w:p w14:paraId="1DD4520D" w14:textId="3554D7E6" w:rsidR="008C3617" w:rsidRPr="00A70834" w:rsidRDefault="00D02CE4">
      <w:pPr>
        <w:spacing w:after="120"/>
        <w:rPr>
          <w:color w:val="000000" w:themeColor="text1"/>
          <w:lang w:val="lt-LT"/>
        </w:rPr>
      </w:pPr>
      <w:r w:rsidRPr="00A70834">
        <w:rPr>
          <w:color w:val="000000" w:themeColor="text1"/>
          <w:lang w:val="lt-LT"/>
        </w:rPr>
        <w:t>M</w:t>
      </w:r>
      <w:r w:rsidR="00EA20F6" w:rsidRPr="00A70834">
        <w:rPr>
          <w:color w:val="000000" w:themeColor="text1"/>
          <w:lang w:val="lt-LT"/>
        </w:rPr>
        <w:t>enA,C,W,Y</w:t>
      </w:r>
      <w:r w:rsidRPr="00A70834">
        <w:rPr>
          <w:color w:val="000000" w:themeColor="text1"/>
          <w:lang w:val="lt-LT"/>
        </w:rPr>
        <w:t xml:space="preserve"> – meningokok</w:t>
      </w:r>
      <w:r w:rsidR="00EA20F6" w:rsidRPr="00A70834">
        <w:rPr>
          <w:color w:val="000000" w:themeColor="text1"/>
          <w:lang w:val="lt-LT"/>
        </w:rPr>
        <w:t>ų A,C, W-135 ir Y grupių konjuguota vakcina</w:t>
      </w:r>
    </w:p>
    <w:p w14:paraId="3AE8EB22" w14:textId="3C47338A" w:rsidR="000D498F" w:rsidRPr="00A70834" w:rsidRDefault="00D02CE4">
      <w:pPr>
        <w:spacing w:after="120"/>
        <w:rPr>
          <w:color w:val="000000" w:themeColor="text1"/>
        </w:rPr>
      </w:pPr>
      <w:r w:rsidRPr="00A70834">
        <w:rPr>
          <w:color w:val="000000" w:themeColor="text1"/>
        </w:rPr>
        <w:lastRenderedPageBreak/>
        <w:t>VHB – virusini</w:t>
      </w:r>
      <w:r w:rsidR="00A75231" w:rsidRPr="00A70834">
        <w:rPr>
          <w:color w:val="000000" w:themeColor="text1"/>
        </w:rPr>
        <w:t>o</w:t>
      </w:r>
      <w:r w:rsidRPr="00A70834">
        <w:rPr>
          <w:color w:val="000000" w:themeColor="text1"/>
        </w:rPr>
        <w:t xml:space="preserve"> hepatit</w:t>
      </w:r>
      <w:r w:rsidR="00A75231" w:rsidRPr="00A70834">
        <w:rPr>
          <w:color w:val="000000" w:themeColor="text1"/>
        </w:rPr>
        <w:t>o</w:t>
      </w:r>
      <w:r w:rsidRPr="00A70834">
        <w:rPr>
          <w:color w:val="000000" w:themeColor="text1"/>
        </w:rPr>
        <w:t xml:space="preserve"> B</w:t>
      </w:r>
      <w:r w:rsidR="00A75231" w:rsidRPr="00A70834">
        <w:rPr>
          <w:color w:val="000000" w:themeColor="text1"/>
        </w:rPr>
        <w:t xml:space="preserve"> vakcina</w:t>
      </w:r>
    </w:p>
    <w:p w14:paraId="1E5304B4" w14:textId="5EF38498" w:rsidR="003D0D9B" w:rsidRPr="00A70834" w:rsidRDefault="003D0D9B" w:rsidP="003D0D9B">
      <w:pPr>
        <w:spacing w:after="120"/>
        <w:rPr>
          <w:color w:val="000000" w:themeColor="text1"/>
        </w:rPr>
      </w:pPr>
      <w:r w:rsidRPr="00A70834">
        <w:rPr>
          <w:color w:val="000000" w:themeColor="text1"/>
        </w:rPr>
        <w:t>Anti-HBs – antikūnai prieš hepatito B viruso paviršiaus antigeną</w:t>
      </w:r>
    </w:p>
    <w:p w14:paraId="053F9B2B" w14:textId="77777777" w:rsidR="00A75231" w:rsidRPr="003D0D9B" w:rsidRDefault="00A75231">
      <w:pPr>
        <w:jc w:val="both"/>
      </w:pPr>
    </w:p>
    <w:p w14:paraId="476EC61C" w14:textId="77777777" w:rsidR="008C3617" w:rsidRPr="00A52D8F" w:rsidRDefault="00D02CE4">
      <w:pPr>
        <w:jc w:val="both"/>
        <w:rPr>
          <w:b/>
        </w:rPr>
      </w:pPr>
      <w:r w:rsidRPr="00A52D8F">
        <w:rPr>
          <w:b/>
        </w:rPr>
        <w:t>Literatūros šaltiniai:</w:t>
      </w:r>
    </w:p>
    <w:p w14:paraId="7FB3083E" w14:textId="77777777" w:rsidR="008C3617" w:rsidRPr="0030172E" w:rsidRDefault="00D02CE4">
      <w:pPr>
        <w:pStyle w:val="ListParagraph1"/>
        <w:numPr>
          <w:ilvl w:val="0"/>
          <w:numId w:val="13"/>
        </w:numPr>
        <w:jc w:val="both"/>
      </w:pPr>
      <w:r w:rsidRPr="0030172E">
        <w:t>Use of 13-Valent Pneumococcal Conjugate Vaccine and 23-Valent Pneumococcal Polysaccharide Vaccine for Adults with Immunocompromising Conditions: Recommendations of the Advisory Committee on Immunization Practices (ACIP) MMWR/October 12, 2012/Vol.61/No 40</w:t>
      </w:r>
    </w:p>
    <w:p w14:paraId="2B6EA775" w14:textId="640ACFEE" w:rsidR="008C3617" w:rsidRDefault="00D02CE4" w:rsidP="00BB57E7">
      <w:pPr>
        <w:pStyle w:val="ListParagraph1"/>
        <w:numPr>
          <w:ilvl w:val="0"/>
          <w:numId w:val="13"/>
        </w:numPr>
        <w:jc w:val="both"/>
      </w:pPr>
      <w:r w:rsidRPr="0030172E">
        <w:t>Rubin et al. 2013 IDSA Clinical Practice Guideline for Vaccination of the Immunocompromised Host. Clinical infectious Diseases</w:t>
      </w:r>
      <w:r w:rsidR="00E672F6" w:rsidRPr="0030172E">
        <w:t xml:space="preserve">. </w:t>
      </w:r>
      <w:r w:rsidRPr="0030172E">
        <w:t>2014</w:t>
      </w:r>
      <w:r w:rsidR="00E672F6" w:rsidRPr="0030172E">
        <w:t>;</w:t>
      </w:r>
      <w:r w:rsidRPr="0030172E">
        <w:t xml:space="preserve"> 58 (3)</w:t>
      </w:r>
      <w:r w:rsidR="00E672F6" w:rsidRPr="0030172E">
        <w:t>:</w:t>
      </w:r>
      <w:r w:rsidRPr="0030172E">
        <w:t xml:space="preserve"> 309-318.</w:t>
      </w:r>
    </w:p>
    <w:p w14:paraId="0D62FD06" w14:textId="4D5703D3" w:rsidR="004B4700" w:rsidRPr="0004367C" w:rsidRDefault="004B4700" w:rsidP="00BB57E7">
      <w:pPr>
        <w:pStyle w:val="ListParagraph1"/>
        <w:numPr>
          <w:ilvl w:val="0"/>
          <w:numId w:val="13"/>
        </w:numPr>
        <w:jc w:val="both"/>
        <w:rPr>
          <w:color w:val="000000" w:themeColor="text1"/>
        </w:rPr>
      </w:pPr>
      <w:bookmarkStart w:id="0" w:name="_GoBack"/>
      <w:r w:rsidRPr="0004367C">
        <w:rPr>
          <w:color w:val="000000" w:themeColor="text1"/>
        </w:rPr>
        <w:t xml:space="preserve">Lopez A, Mariette X, Bachelez H et al. Vaccination recommendations for the adult immunosuppressed patient: a systematic review and comprehensive field synopsis. J </w:t>
      </w:r>
      <w:proofErr w:type="gramStart"/>
      <w:r w:rsidRPr="0004367C">
        <w:rPr>
          <w:color w:val="000000" w:themeColor="text1"/>
        </w:rPr>
        <w:t>Autoimmunity  80</w:t>
      </w:r>
      <w:proofErr w:type="gramEnd"/>
      <w:r w:rsidRPr="0004367C">
        <w:rPr>
          <w:color w:val="000000" w:themeColor="text1"/>
        </w:rPr>
        <w:t xml:space="preserve"> (2017) 10-27.</w:t>
      </w:r>
      <w:bookmarkEnd w:id="0"/>
    </w:p>
    <w:sectPr w:rsidR="004B4700" w:rsidRPr="0004367C">
      <w:footerReference w:type="even" r:id="rId10"/>
      <w:footerReference w:type="default" r:id="rId11"/>
      <w:pgSz w:w="11906" w:h="16838"/>
      <w:pgMar w:top="1701"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198D" w14:textId="77777777" w:rsidR="00061148" w:rsidRDefault="00061148">
      <w:pPr>
        <w:spacing w:after="0" w:line="240" w:lineRule="auto"/>
      </w:pPr>
      <w:r>
        <w:separator/>
      </w:r>
    </w:p>
  </w:endnote>
  <w:endnote w:type="continuationSeparator" w:id="0">
    <w:p w14:paraId="7D3310CB" w14:textId="77777777" w:rsidR="00061148" w:rsidRDefault="0006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Times New Roman"/>
    <w:charset w:val="BA"/>
    <w:family w:val="roman"/>
    <w:pitch w:val="variable"/>
  </w:font>
  <w:font w:name="ITC Franklin Gothic Std Med">
    <w:altName w:val="Times New Roman"/>
    <w:charset w:val="BA"/>
    <w:family w:val="roman"/>
    <w:pitch w:val="variable"/>
  </w:font>
  <w:font w:name="Arial">
    <w:panose1 w:val="020B0604020202020204"/>
    <w:charset w:val="BA"/>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ＭＳ Ｐゴシック">
    <w:charset w:val="4E"/>
    <w:family w:val="auto"/>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B070" w14:textId="77777777" w:rsidR="0077579E" w:rsidRDefault="007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072AF" w14:textId="77777777" w:rsidR="0077579E" w:rsidRDefault="00775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7856" w14:textId="77777777" w:rsidR="0077579E" w:rsidRDefault="007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67C">
      <w:rPr>
        <w:rStyle w:val="PageNumber"/>
        <w:noProof/>
      </w:rPr>
      <w:t>24</w:t>
    </w:r>
    <w:r>
      <w:rPr>
        <w:rStyle w:val="PageNumber"/>
      </w:rPr>
      <w:fldChar w:fldCharType="end"/>
    </w:r>
  </w:p>
  <w:p w14:paraId="274D6A10" w14:textId="77777777" w:rsidR="0077579E" w:rsidRDefault="00775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0925" w14:textId="77777777" w:rsidR="00061148" w:rsidRDefault="00061148">
      <w:pPr>
        <w:spacing w:after="0" w:line="240" w:lineRule="auto"/>
      </w:pPr>
      <w:r>
        <w:separator/>
      </w:r>
    </w:p>
  </w:footnote>
  <w:footnote w:type="continuationSeparator" w:id="0">
    <w:p w14:paraId="5AEDD71A" w14:textId="77777777" w:rsidR="00061148" w:rsidRDefault="00061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B90"/>
    <w:multiLevelType w:val="multilevel"/>
    <w:tmpl w:val="06325B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D5369F"/>
    <w:multiLevelType w:val="hybridMultilevel"/>
    <w:tmpl w:val="345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078A0"/>
    <w:multiLevelType w:val="multilevel"/>
    <w:tmpl w:val="123078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463E18"/>
    <w:multiLevelType w:val="multilevel"/>
    <w:tmpl w:val="12463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4C379F"/>
    <w:multiLevelType w:val="multilevel"/>
    <w:tmpl w:val="154C379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AC114A"/>
    <w:multiLevelType w:val="multilevel"/>
    <w:tmpl w:val="15AC1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7E577D"/>
    <w:multiLevelType w:val="multilevel"/>
    <w:tmpl w:val="1C7E577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AF74A1"/>
    <w:multiLevelType w:val="multilevel"/>
    <w:tmpl w:val="24AF74A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32211A"/>
    <w:multiLevelType w:val="multilevel"/>
    <w:tmpl w:val="2D322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A95458"/>
    <w:multiLevelType w:val="multilevel"/>
    <w:tmpl w:val="40A954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4D3B62"/>
    <w:multiLevelType w:val="multilevel"/>
    <w:tmpl w:val="424D3B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984582"/>
    <w:multiLevelType w:val="multilevel"/>
    <w:tmpl w:val="4F9845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C77AE6"/>
    <w:multiLevelType w:val="multilevel"/>
    <w:tmpl w:val="64C77A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5A7569"/>
    <w:multiLevelType w:val="hybridMultilevel"/>
    <w:tmpl w:val="428A1F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7A404109"/>
    <w:multiLevelType w:val="multilevel"/>
    <w:tmpl w:val="7A40410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CCC7216"/>
    <w:multiLevelType w:val="hybridMultilevel"/>
    <w:tmpl w:val="C398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4"/>
  </w:num>
  <w:num w:numId="5">
    <w:abstractNumId w:val="7"/>
  </w:num>
  <w:num w:numId="6">
    <w:abstractNumId w:val="8"/>
  </w:num>
  <w:num w:numId="7">
    <w:abstractNumId w:val="5"/>
  </w:num>
  <w:num w:numId="8">
    <w:abstractNumId w:val="3"/>
  </w:num>
  <w:num w:numId="9">
    <w:abstractNumId w:val="6"/>
  </w:num>
  <w:num w:numId="10">
    <w:abstractNumId w:val="0"/>
  </w:num>
  <w:num w:numId="11">
    <w:abstractNumId w:val="2"/>
  </w:num>
  <w:num w:numId="12">
    <w:abstractNumId w:val="10"/>
  </w:num>
  <w:num w:numId="13">
    <w:abstractNumId w:val="9"/>
  </w:num>
  <w:num w:numId="14">
    <w:abstractNumId w:val="1"/>
  </w:num>
  <w:num w:numId="15">
    <w:abstractNumId w:val="15"/>
  </w:num>
  <w:num w:numId="16">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SpellingErrors/>
  <w:proofState w:grammar="clean"/>
  <w:defaultTabStop w:val="1296"/>
  <w:hyphenationZone w:val="396"/>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17"/>
    <w:rsid w:val="000033CE"/>
    <w:rsid w:val="000057FF"/>
    <w:rsid w:val="00011CD5"/>
    <w:rsid w:val="00012E06"/>
    <w:rsid w:val="00016CCF"/>
    <w:rsid w:val="000254D3"/>
    <w:rsid w:val="000344CC"/>
    <w:rsid w:val="0004367C"/>
    <w:rsid w:val="00044682"/>
    <w:rsid w:val="00045CE7"/>
    <w:rsid w:val="00047E52"/>
    <w:rsid w:val="00061148"/>
    <w:rsid w:val="000619F5"/>
    <w:rsid w:val="000649DA"/>
    <w:rsid w:val="00090D46"/>
    <w:rsid w:val="0009134E"/>
    <w:rsid w:val="00096C94"/>
    <w:rsid w:val="000B28BA"/>
    <w:rsid w:val="000C08CC"/>
    <w:rsid w:val="000C5D4C"/>
    <w:rsid w:val="000C5E6D"/>
    <w:rsid w:val="000D321E"/>
    <w:rsid w:val="000D498F"/>
    <w:rsid w:val="000E51CD"/>
    <w:rsid w:val="000F0C4D"/>
    <w:rsid w:val="000F38DF"/>
    <w:rsid w:val="000F72BE"/>
    <w:rsid w:val="00101761"/>
    <w:rsid w:val="0011209C"/>
    <w:rsid w:val="00114204"/>
    <w:rsid w:val="00121E42"/>
    <w:rsid w:val="00126828"/>
    <w:rsid w:val="00127E1B"/>
    <w:rsid w:val="00136F23"/>
    <w:rsid w:val="0015393E"/>
    <w:rsid w:val="00153CFF"/>
    <w:rsid w:val="00162AFC"/>
    <w:rsid w:val="00171D6B"/>
    <w:rsid w:val="00193CE2"/>
    <w:rsid w:val="001A33F1"/>
    <w:rsid w:val="001A6EBF"/>
    <w:rsid w:val="001B112E"/>
    <w:rsid w:val="001B1F54"/>
    <w:rsid w:val="001B691E"/>
    <w:rsid w:val="001E047C"/>
    <w:rsid w:val="001E4742"/>
    <w:rsid w:val="001E5A6C"/>
    <w:rsid w:val="00206CEC"/>
    <w:rsid w:val="0024440A"/>
    <w:rsid w:val="00246CB4"/>
    <w:rsid w:val="0024777E"/>
    <w:rsid w:val="00252F37"/>
    <w:rsid w:val="00263B4F"/>
    <w:rsid w:val="00265D0D"/>
    <w:rsid w:val="002712AC"/>
    <w:rsid w:val="00271A9C"/>
    <w:rsid w:val="00272E1D"/>
    <w:rsid w:val="00280983"/>
    <w:rsid w:val="002815DB"/>
    <w:rsid w:val="002831DA"/>
    <w:rsid w:val="00286EC3"/>
    <w:rsid w:val="002A0053"/>
    <w:rsid w:val="002A1CC9"/>
    <w:rsid w:val="002A77FC"/>
    <w:rsid w:val="002C0327"/>
    <w:rsid w:val="002C5E34"/>
    <w:rsid w:val="002D2A5F"/>
    <w:rsid w:val="002D6896"/>
    <w:rsid w:val="002E3DE0"/>
    <w:rsid w:val="002F36BC"/>
    <w:rsid w:val="0030172E"/>
    <w:rsid w:val="00307BE9"/>
    <w:rsid w:val="00313C59"/>
    <w:rsid w:val="00313C63"/>
    <w:rsid w:val="00317B7F"/>
    <w:rsid w:val="00333395"/>
    <w:rsid w:val="00343E81"/>
    <w:rsid w:val="003445A4"/>
    <w:rsid w:val="00351E7C"/>
    <w:rsid w:val="00352B61"/>
    <w:rsid w:val="003613FA"/>
    <w:rsid w:val="00361CDF"/>
    <w:rsid w:val="00375ED8"/>
    <w:rsid w:val="003827C2"/>
    <w:rsid w:val="003A5764"/>
    <w:rsid w:val="003A5B5B"/>
    <w:rsid w:val="003B0E56"/>
    <w:rsid w:val="003B21B4"/>
    <w:rsid w:val="003B5362"/>
    <w:rsid w:val="003C6B6C"/>
    <w:rsid w:val="003D0D9B"/>
    <w:rsid w:val="003E590B"/>
    <w:rsid w:val="003E6C3F"/>
    <w:rsid w:val="003F7B80"/>
    <w:rsid w:val="00401B1B"/>
    <w:rsid w:val="00402725"/>
    <w:rsid w:val="00403CC0"/>
    <w:rsid w:val="00404299"/>
    <w:rsid w:val="004074B6"/>
    <w:rsid w:val="004145C6"/>
    <w:rsid w:val="00422FF5"/>
    <w:rsid w:val="004414FC"/>
    <w:rsid w:val="0044169F"/>
    <w:rsid w:val="0044261C"/>
    <w:rsid w:val="00456180"/>
    <w:rsid w:val="0046180F"/>
    <w:rsid w:val="00461890"/>
    <w:rsid w:val="004624C8"/>
    <w:rsid w:val="00464596"/>
    <w:rsid w:val="0047158C"/>
    <w:rsid w:val="00482B1D"/>
    <w:rsid w:val="00487056"/>
    <w:rsid w:val="00490142"/>
    <w:rsid w:val="00497211"/>
    <w:rsid w:val="004A0EBE"/>
    <w:rsid w:val="004A5CFD"/>
    <w:rsid w:val="004B4700"/>
    <w:rsid w:val="004C28E8"/>
    <w:rsid w:val="004D3E7F"/>
    <w:rsid w:val="004D4765"/>
    <w:rsid w:val="004D66B5"/>
    <w:rsid w:val="004F040E"/>
    <w:rsid w:val="004F5DBD"/>
    <w:rsid w:val="00507CD0"/>
    <w:rsid w:val="00512340"/>
    <w:rsid w:val="0052244A"/>
    <w:rsid w:val="005312F7"/>
    <w:rsid w:val="0054032F"/>
    <w:rsid w:val="005449F1"/>
    <w:rsid w:val="00563523"/>
    <w:rsid w:val="00572599"/>
    <w:rsid w:val="005774E2"/>
    <w:rsid w:val="0058477D"/>
    <w:rsid w:val="005848A6"/>
    <w:rsid w:val="00587DA0"/>
    <w:rsid w:val="00591BEC"/>
    <w:rsid w:val="005A25BB"/>
    <w:rsid w:val="005A582E"/>
    <w:rsid w:val="005A7727"/>
    <w:rsid w:val="005B0600"/>
    <w:rsid w:val="005B4B3B"/>
    <w:rsid w:val="005C4AD8"/>
    <w:rsid w:val="005E08D7"/>
    <w:rsid w:val="005E3AC5"/>
    <w:rsid w:val="005E7876"/>
    <w:rsid w:val="00604FCA"/>
    <w:rsid w:val="006123B9"/>
    <w:rsid w:val="006236EA"/>
    <w:rsid w:val="00630ADD"/>
    <w:rsid w:val="006346FC"/>
    <w:rsid w:val="00635826"/>
    <w:rsid w:val="00640607"/>
    <w:rsid w:val="006504EE"/>
    <w:rsid w:val="006521B0"/>
    <w:rsid w:val="00654AC1"/>
    <w:rsid w:val="006724D8"/>
    <w:rsid w:val="00675AC3"/>
    <w:rsid w:val="00683219"/>
    <w:rsid w:val="006A2DE6"/>
    <w:rsid w:val="006B12CD"/>
    <w:rsid w:val="006B3E70"/>
    <w:rsid w:val="006D09FF"/>
    <w:rsid w:val="006D2E64"/>
    <w:rsid w:val="006E3C66"/>
    <w:rsid w:val="006E6C64"/>
    <w:rsid w:val="006F6201"/>
    <w:rsid w:val="006F6A0D"/>
    <w:rsid w:val="00700685"/>
    <w:rsid w:val="00714157"/>
    <w:rsid w:val="00730757"/>
    <w:rsid w:val="00734AC1"/>
    <w:rsid w:val="007420EA"/>
    <w:rsid w:val="00742DC8"/>
    <w:rsid w:val="00744AFE"/>
    <w:rsid w:val="00752466"/>
    <w:rsid w:val="0076587C"/>
    <w:rsid w:val="00771098"/>
    <w:rsid w:val="0077579E"/>
    <w:rsid w:val="00782354"/>
    <w:rsid w:val="00783CF5"/>
    <w:rsid w:val="0078448F"/>
    <w:rsid w:val="00794F92"/>
    <w:rsid w:val="007A1A6C"/>
    <w:rsid w:val="007A3047"/>
    <w:rsid w:val="007A76BB"/>
    <w:rsid w:val="007B0432"/>
    <w:rsid w:val="007B0B17"/>
    <w:rsid w:val="007B23AB"/>
    <w:rsid w:val="007B6AC2"/>
    <w:rsid w:val="007B77DB"/>
    <w:rsid w:val="007C48A0"/>
    <w:rsid w:val="007D10CD"/>
    <w:rsid w:val="007D46E8"/>
    <w:rsid w:val="007E0043"/>
    <w:rsid w:val="007E1127"/>
    <w:rsid w:val="007E408D"/>
    <w:rsid w:val="007F6350"/>
    <w:rsid w:val="008078DE"/>
    <w:rsid w:val="00807919"/>
    <w:rsid w:val="00807F36"/>
    <w:rsid w:val="008105FF"/>
    <w:rsid w:val="00813F1A"/>
    <w:rsid w:val="0081406E"/>
    <w:rsid w:val="008264CA"/>
    <w:rsid w:val="00830FD6"/>
    <w:rsid w:val="00840B28"/>
    <w:rsid w:val="0085286D"/>
    <w:rsid w:val="00854A54"/>
    <w:rsid w:val="00855C99"/>
    <w:rsid w:val="0085640A"/>
    <w:rsid w:val="0086686A"/>
    <w:rsid w:val="0087352A"/>
    <w:rsid w:val="008736B8"/>
    <w:rsid w:val="00883C65"/>
    <w:rsid w:val="00883C8A"/>
    <w:rsid w:val="00886838"/>
    <w:rsid w:val="008A1822"/>
    <w:rsid w:val="008A2C1A"/>
    <w:rsid w:val="008A3B0C"/>
    <w:rsid w:val="008A3F37"/>
    <w:rsid w:val="008A44F1"/>
    <w:rsid w:val="008A4D2E"/>
    <w:rsid w:val="008A5ED9"/>
    <w:rsid w:val="008B10FC"/>
    <w:rsid w:val="008B1C5F"/>
    <w:rsid w:val="008B26FB"/>
    <w:rsid w:val="008C3617"/>
    <w:rsid w:val="008D32FA"/>
    <w:rsid w:val="008E3EF7"/>
    <w:rsid w:val="008E7DD9"/>
    <w:rsid w:val="008F3CF5"/>
    <w:rsid w:val="00901F7B"/>
    <w:rsid w:val="00903FD0"/>
    <w:rsid w:val="009075B5"/>
    <w:rsid w:val="00912C08"/>
    <w:rsid w:val="0091700A"/>
    <w:rsid w:val="00917012"/>
    <w:rsid w:val="00925AB1"/>
    <w:rsid w:val="00931E5E"/>
    <w:rsid w:val="0093382D"/>
    <w:rsid w:val="0093459A"/>
    <w:rsid w:val="00956F84"/>
    <w:rsid w:val="009602A2"/>
    <w:rsid w:val="00963A90"/>
    <w:rsid w:val="00965FEE"/>
    <w:rsid w:val="009717F5"/>
    <w:rsid w:val="00973BF2"/>
    <w:rsid w:val="00983C3A"/>
    <w:rsid w:val="00992AFC"/>
    <w:rsid w:val="009A545A"/>
    <w:rsid w:val="009B02DD"/>
    <w:rsid w:val="009B13C0"/>
    <w:rsid w:val="009B1DAC"/>
    <w:rsid w:val="009B20EB"/>
    <w:rsid w:val="009B33DA"/>
    <w:rsid w:val="009B37C8"/>
    <w:rsid w:val="009B482B"/>
    <w:rsid w:val="009B5E91"/>
    <w:rsid w:val="009D024E"/>
    <w:rsid w:val="009D5B1A"/>
    <w:rsid w:val="009D5C74"/>
    <w:rsid w:val="009D6C93"/>
    <w:rsid w:val="009E3F2B"/>
    <w:rsid w:val="00A0002B"/>
    <w:rsid w:val="00A05821"/>
    <w:rsid w:val="00A119BB"/>
    <w:rsid w:val="00A17A9A"/>
    <w:rsid w:val="00A24812"/>
    <w:rsid w:val="00A252A9"/>
    <w:rsid w:val="00A30376"/>
    <w:rsid w:val="00A3431B"/>
    <w:rsid w:val="00A37369"/>
    <w:rsid w:val="00A467AA"/>
    <w:rsid w:val="00A52D8F"/>
    <w:rsid w:val="00A622BD"/>
    <w:rsid w:val="00A63051"/>
    <w:rsid w:val="00A651F7"/>
    <w:rsid w:val="00A70834"/>
    <w:rsid w:val="00A75231"/>
    <w:rsid w:val="00A76534"/>
    <w:rsid w:val="00A843DE"/>
    <w:rsid w:val="00A858DA"/>
    <w:rsid w:val="00A936E8"/>
    <w:rsid w:val="00A96B1E"/>
    <w:rsid w:val="00AA6595"/>
    <w:rsid w:val="00AB6242"/>
    <w:rsid w:val="00AD0735"/>
    <w:rsid w:val="00AD2C9A"/>
    <w:rsid w:val="00AD6346"/>
    <w:rsid w:val="00AF63BF"/>
    <w:rsid w:val="00AF708F"/>
    <w:rsid w:val="00AF7FDB"/>
    <w:rsid w:val="00B0068D"/>
    <w:rsid w:val="00B02A93"/>
    <w:rsid w:val="00B04F6C"/>
    <w:rsid w:val="00B134BA"/>
    <w:rsid w:val="00B15B75"/>
    <w:rsid w:val="00B22792"/>
    <w:rsid w:val="00B260DF"/>
    <w:rsid w:val="00B505C6"/>
    <w:rsid w:val="00B519CD"/>
    <w:rsid w:val="00B729DE"/>
    <w:rsid w:val="00B86911"/>
    <w:rsid w:val="00B937F9"/>
    <w:rsid w:val="00B976C2"/>
    <w:rsid w:val="00BA5150"/>
    <w:rsid w:val="00BB15A1"/>
    <w:rsid w:val="00BB25A5"/>
    <w:rsid w:val="00BB57E7"/>
    <w:rsid w:val="00BC015C"/>
    <w:rsid w:val="00BC47E9"/>
    <w:rsid w:val="00BC6535"/>
    <w:rsid w:val="00BC6CF3"/>
    <w:rsid w:val="00BD054F"/>
    <w:rsid w:val="00BD5C2C"/>
    <w:rsid w:val="00BD6199"/>
    <w:rsid w:val="00BF2F22"/>
    <w:rsid w:val="00BF7305"/>
    <w:rsid w:val="00C02D1A"/>
    <w:rsid w:val="00C06F75"/>
    <w:rsid w:val="00C078A7"/>
    <w:rsid w:val="00C16C6B"/>
    <w:rsid w:val="00C26807"/>
    <w:rsid w:val="00C3099E"/>
    <w:rsid w:val="00C43A73"/>
    <w:rsid w:val="00C443FC"/>
    <w:rsid w:val="00C45397"/>
    <w:rsid w:val="00C5249A"/>
    <w:rsid w:val="00C576DD"/>
    <w:rsid w:val="00C62A75"/>
    <w:rsid w:val="00C71BB4"/>
    <w:rsid w:val="00C73125"/>
    <w:rsid w:val="00C77E39"/>
    <w:rsid w:val="00C80038"/>
    <w:rsid w:val="00C80E2C"/>
    <w:rsid w:val="00C84CC9"/>
    <w:rsid w:val="00C85A91"/>
    <w:rsid w:val="00C91E63"/>
    <w:rsid w:val="00C929D2"/>
    <w:rsid w:val="00CA49B3"/>
    <w:rsid w:val="00CB7C5A"/>
    <w:rsid w:val="00CC0262"/>
    <w:rsid w:val="00CC6198"/>
    <w:rsid w:val="00CE00F5"/>
    <w:rsid w:val="00CE48D3"/>
    <w:rsid w:val="00CE5CF0"/>
    <w:rsid w:val="00CE657F"/>
    <w:rsid w:val="00CE6AC9"/>
    <w:rsid w:val="00D02CE4"/>
    <w:rsid w:val="00D05211"/>
    <w:rsid w:val="00D15252"/>
    <w:rsid w:val="00D30D88"/>
    <w:rsid w:val="00D33124"/>
    <w:rsid w:val="00D50B5C"/>
    <w:rsid w:val="00D514E5"/>
    <w:rsid w:val="00D5320C"/>
    <w:rsid w:val="00D61B29"/>
    <w:rsid w:val="00D658D3"/>
    <w:rsid w:val="00D73A87"/>
    <w:rsid w:val="00D74C6B"/>
    <w:rsid w:val="00D86057"/>
    <w:rsid w:val="00D9487B"/>
    <w:rsid w:val="00D97FDD"/>
    <w:rsid w:val="00DA3EC8"/>
    <w:rsid w:val="00DA61E0"/>
    <w:rsid w:val="00DB65A5"/>
    <w:rsid w:val="00DC2D39"/>
    <w:rsid w:val="00DC6570"/>
    <w:rsid w:val="00DD4935"/>
    <w:rsid w:val="00DD4E97"/>
    <w:rsid w:val="00DE3539"/>
    <w:rsid w:val="00DF1DE4"/>
    <w:rsid w:val="00DF205C"/>
    <w:rsid w:val="00DF2C08"/>
    <w:rsid w:val="00DF47A6"/>
    <w:rsid w:val="00E00467"/>
    <w:rsid w:val="00E00B6A"/>
    <w:rsid w:val="00E02AA1"/>
    <w:rsid w:val="00E073EC"/>
    <w:rsid w:val="00E10E46"/>
    <w:rsid w:val="00E1149D"/>
    <w:rsid w:val="00E128F9"/>
    <w:rsid w:val="00E1302E"/>
    <w:rsid w:val="00E17257"/>
    <w:rsid w:val="00E26C03"/>
    <w:rsid w:val="00E3793B"/>
    <w:rsid w:val="00E43E2B"/>
    <w:rsid w:val="00E52AF9"/>
    <w:rsid w:val="00E5302F"/>
    <w:rsid w:val="00E536B2"/>
    <w:rsid w:val="00E5448D"/>
    <w:rsid w:val="00E63578"/>
    <w:rsid w:val="00E63EA3"/>
    <w:rsid w:val="00E672F6"/>
    <w:rsid w:val="00E77CED"/>
    <w:rsid w:val="00E77D2E"/>
    <w:rsid w:val="00E947F0"/>
    <w:rsid w:val="00E9668D"/>
    <w:rsid w:val="00EA20F6"/>
    <w:rsid w:val="00EA757D"/>
    <w:rsid w:val="00EB71FB"/>
    <w:rsid w:val="00EC668E"/>
    <w:rsid w:val="00ED484E"/>
    <w:rsid w:val="00EE7F44"/>
    <w:rsid w:val="00F03254"/>
    <w:rsid w:val="00F12E01"/>
    <w:rsid w:val="00F26FA3"/>
    <w:rsid w:val="00F317D9"/>
    <w:rsid w:val="00F40EB0"/>
    <w:rsid w:val="00F432CE"/>
    <w:rsid w:val="00F4431F"/>
    <w:rsid w:val="00F542C1"/>
    <w:rsid w:val="00F624BB"/>
    <w:rsid w:val="00F71FAA"/>
    <w:rsid w:val="00F72B6B"/>
    <w:rsid w:val="00F72E0B"/>
    <w:rsid w:val="00F8384C"/>
    <w:rsid w:val="00FA12E8"/>
    <w:rsid w:val="00FA35CE"/>
    <w:rsid w:val="00FA70BF"/>
    <w:rsid w:val="00FB50E6"/>
    <w:rsid w:val="00FC53AB"/>
    <w:rsid w:val="00FD5B69"/>
    <w:rsid w:val="00FE198A"/>
    <w:rsid w:val="00FE64EB"/>
    <w:rsid w:val="00FE6D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8BD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semiHidden="0" w:uiPriority="99"/>
    <w:lsdException w:name="caption" w:uiPriority="35" w:qFormat="1"/>
    <w:lsdException w:name="annotation reference" w:uiPriority="99"/>
    <w:lsdException w:name="page number"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uiPriority w:val="99"/>
    <w:pPr>
      <w:spacing w:line="440" w:lineRule="atLeast"/>
    </w:pPr>
    <w:rPr>
      <w:rFonts w:ascii="ITC Franklin Gothic Std Med" w:hAnsi="ITC Franklin Gothic Std Med"/>
      <w:color w:val="auto"/>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9">
    <w:name w:val="A9"/>
    <w:uiPriority w:val="99"/>
    <w:rPr>
      <w:rFonts w:cs="ITC Franklin Gothic Std Book"/>
      <w:color w:val="000000"/>
      <w:sz w:val="14"/>
      <w:szCs w:val="14"/>
      <w:u w:val="single"/>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DB65A5"/>
    <w:pPr>
      <w:ind w:left="720"/>
      <w:contextualSpacing/>
    </w:pPr>
  </w:style>
  <w:style w:type="character" w:styleId="Hyperlink">
    <w:name w:val="Hyperlink"/>
    <w:basedOn w:val="DefaultParagraphFont"/>
    <w:unhideWhenUsed/>
    <w:rsid w:val="00700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semiHidden="0" w:uiPriority="99"/>
    <w:lsdException w:name="caption" w:uiPriority="35" w:qFormat="1"/>
    <w:lsdException w:name="annotation reference" w:uiPriority="99"/>
    <w:lsdException w:name="page number"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uiPriority w:val="99"/>
    <w:pPr>
      <w:spacing w:line="440" w:lineRule="atLeast"/>
    </w:pPr>
    <w:rPr>
      <w:rFonts w:ascii="ITC Franklin Gothic Std Med" w:hAnsi="ITC Franklin Gothic Std Med"/>
      <w:color w:val="auto"/>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9">
    <w:name w:val="A9"/>
    <w:uiPriority w:val="99"/>
    <w:rPr>
      <w:rFonts w:cs="ITC Franklin Gothic Std Book"/>
      <w:color w:val="000000"/>
      <w:sz w:val="14"/>
      <w:szCs w:val="14"/>
      <w:u w:val="single"/>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DB65A5"/>
    <w:pPr>
      <w:ind w:left="720"/>
      <w:contextualSpacing/>
    </w:pPr>
  </w:style>
  <w:style w:type="character" w:styleId="Hyperlink">
    <w:name w:val="Hyperlink"/>
    <w:basedOn w:val="DefaultParagraphFont"/>
    <w:unhideWhenUsed/>
    <w:rsid w:val="00700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461B6-C731-49F3-8497-86D90AF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24</Pages>
  <Words>28138</Words>
  <Characters>16039</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Skiepijimo rekomendacijos inkstų ligomis sergantiems pacientams</vt:lpstr>
    </vt:vector>
  </TitlesOfParts>
  <Company>Pfizer Inc</Company>
  <LinksUpToDate>false</LinksUpToDate>
  <CharactersWithSpaces>44089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Skiepijimo rekomendacijos inkstų ligomis sergantiems pacientams</dc:title>
  <dc:creator>Reimeriene, Jurgita</dc:creator>
  <cp:lastModifiedBy>Reimeriene, Jurgita</cp:lastModifiedBy>
  <cp:revision>232</cp:revision>
  <cp:lastPrinted>2017-10-28T07:18:00Z</cp:lastPrinted>
  <dcterms:created xsi:type="dcterms:W3CDTF">2017-08-02T08:48:00Z</dcterms:created>
  <dcterms:modified xsi:type="dcterms:W3CDTF">2017-11-17T14:54:00Z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